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Heading2"/>
        <w:spacing w:before="240" w:after="120"/>
        <w:rPr>
          <w:color w:val="auto"/>
        </w:rPr>
      </w:pPr>
      <w:r>
        <w:rPr>
          <w:color w:val="auto"/>
        </w:rPr>
        <w:t>Personal Details</w:t>
      </w:r>
    </w:p>
    <w:p>
      <w:pPr>
        <w:tabs>
          <w:tab w:val="left" w:pos="2070"/>
        </w:tabs>
        <w:spacing w:after="0"/>
        <w:rPr>
          <w:i/>
          <w:lang w:val="en-US"/>
        </w:rPr>
      </w:pPr>
      <w:r>
        <w:rPr>
          <w:color w:val="auto"/>
          <w:lang w:val="en-US"/>
        </w:rPr>
        <w:t>Citation metrics:</w:t>
      </w:r>
      <w:r>
        <w:rPr>
          <w:color w:val="auto"/>
          <w:lang w:val="en-US"/>
        </w:rPr>
        <w:tab/>
      </w:r>
      <w:r>
        <w:rPr>
          <w:b/>
          <w:color w:val="auto"/>
          <w:lang w:val="en-US"/>
        </w:rPr>
        <w:t>H-index</w:t>
      </w:r>
      <w:r>
        <w:rPr>
          <w:color w:val="auto"/>
          <w:lang w:val="en-US"/>
        </w:rPr>
        <w:t xml:space="preserve">; </w:t>
      </w:r>
      <w:r>
        <w:rPr>
          <w:i/>
          <w:color w:val="auto"/>
          <w:lang w:val="en-US"/>
        </w:rPr>
        <w:t>citations</w:t>
      </w:r>
      <w:r>
        <w:rPr>
          <w:color w:val="auto"/>
          <w:lang w:val="en-US"/>
        </w:rPr>
        <w:t xml:space="preserve">: </w:t>
      </w:r>
      <w:hyperlink r:id="rId8" w:history="1">
        <w:r>
          <w:rPr>
            <w:rStyle w:val="Hyperlink"/>
            <w:lang w:val="en-US"/>
          </w:rPr>
          <w:t>Web of Science</w:t>
        </w:r>
      </w:hyperlink>
      <w:r>
        <w:rPr>
          <w:rStyle w:val="Hyperlink"/>
          <w:u w:val="none"/>
          <w:lang w:val="en-US"/>
        </w:rPr>
        <w:t xml:space="preserve"> </w:t>
      </w:r>
      <w:r>
        <w:rPr>
          <w:lang w:val="en-US"/>
        </w:rPr>
        <w:t>:</w:t>
      </w:r>
      <w:r>
        <w:rPr>
          <w:color w:val="auto"/>
          <w:lang w:val="en-US"/>
        </w:rPr>
        <w:t xml:space="preserve"> </w:t>
      </w:r>
      <w:r>
        <w:rPr>
          <w:b/>
          <w:iCs/>
          <w:color w:val="auto"/>
          <w:lang w:val="en-US"/>
        </w:rPr>
        <w:t>19</w:t>
      </w:r>
      <w:r>
        <w:rPr>
          <w:color w:val="auto"/>
          <w:lang w:val="en-US"/>
        </w:rPr>
        <w:t xml:space="preserve">; 1597; </w:t>
      </w:r>
      <w:hyperlink r:id="rId9" w:history="1">
        <w:r>
          <w:rPr>
            <w:rStyle w:val="Hyperlink"/>
            <w:u w:val="none"/>
            <w:lang w:val="en-US"/>
          </w:rPr>
          <w:t>Scopus</w:t>
        </w:r>
      </w:hyperlink>
      <w:r>
        <w:rPr>
          <w:lang w:val="en-US"/>
        </w:rPr>
        <w:t xml:space="preserve">: </w:t>
      </w:r>
      <w:r>
        <w:rPr>
          <w:b/>
          <w:color w:val="auto"/>
          <w:lang w:val="en-US"/>
        </w:rPr>
        <w:t>19</w:t>
      </w:r>
      <w:r>
        <w:rPr>
          <w:color w:val="auto"/>
          <w:lang w:val="en-US"/>
        </w:rPr>
        <w:t xml:space="preserve">; 1696; </w:t>
      </w:r>
      <w:hyperlink r:id="rId10" w:history="1">
        <w:r>
          <w:rPr>
            <w:rStyle w:val="Hyperlink"/>
            <w:u w:val="none"/>
            <w:lang w:val="en-US"/>
          </w:rPr>
          <w:t>Google Scholar</w:t>
        </w:r>
      </w:hyperlink>
      <w:r>
        <w:rPr>
          <w:lang w:val="en-US"/>
        </w:rPr>
        <w:t xml:space="preserve">: </w:t>
      </w:r>
      <w:r>
        <w:rPr>
          <w:b/>
          <w:color w:val="auto"/>
          <w:lang w:val="en-US"/>
        </w:rPr>
        <w:t>22</w:t>
      </w:r>
      <w:r>
        <w:rPr>
          <w:color w:val="auto"/>
          <w:lang w:val="en-US"/>
        </w:rPr>
        <w:t xml:space="preserve">; </w:t>
      </w:r>
      <w:r>
        <w:rPr>
          <w:iCs/>
          <w:color w:val="auto"/>
          <w:lang w:val="en-US"/>
        </w:rPr>
        <w:t>2295</w:t>
      </w:r>
    </w:p>
    <w:p>
      <w:pPr>
        <w:tabs>
          <w:tab w:val="left" w:pos="2070"/>
        </w:tabs>
        <w:rPr>
          <w:lang w:val="en-US"/>
        </w:rPr>
      </w:pPr>
      <w:r>
        <w:rPr>
          <w:lang w:val="en-US"/>
        </w:rPr>
        <w:tab/>
      </w:r>
      <w:hyperlink r:id="rId11" w:history="1">
        <w:r>
          <w:rPr>
            <w:rStyle w:val="Hyperlink"/>
            <w:lang w:val="en-US"/>
          </w:rPr>
          <w:t>ORCID</w:t>
        </w:r>
      </w:hyperlink>
      <w:r>
        <w:rPr>
          <w:lang w:val="en-US"/>
        </w:rPr>
        <w:t xml:space="preserve"> </w:t>
      </w:r>
      <w:r>
        <w:rPr>
          <w:color w:val="auto"/>
          <w:lang w:val="en-US"/>
        </w:rPr>
        <w:t xml:space="preserve">iD-0000-0003-0734-4749; eRA Commons linked </w:t>
      </w:r>
      <w:hyperlink r:id="rId12" w:history="1">
        <w:r>
          <w:rPr>
            <w:rStyle w:val="Hyperlink"/>
            <w:lang w:val="en-US"/>
          </w:rPr>
          <w:t>NCBI</w:t>
        </w:r>
      </w:hyperlink>
    </w:p>
    <w:p>
      <w:pPr>
        <w:tabs>
          <w:tab w:val="left" w:pos="2070"/>
        </w:tabs>
        <w:spacing w:before="0"/>
        <w:rPr>
          <w:color w:val="auto"/>
          <w:lang w:val="pl-PL"/>
        </w:rPr>
      </w:pPr>
      <w:r>
        <w:rPr>
          <w:color w:val="auto"/>
          <w:lang w:val="pl-PL"/>
        </w:rPr>
        <w:t>Current address:</w:t>
      </w:r>
      <w:r>
        <w:rPr>
          <w:color w:val="auto"/>
          <w:lang w:val="pl-PL"/>
        </w:rPr>
        <w:tab/>
        <w:t>Os. Zlota Podkowa 27/9, 31-352</w:t>
      </w:r>
      <w:bookmarkStart w:id="0" w:name="_GoBack"/>
      <w:bookmarkEnd w:id="0"/>
      <w:r>
        <w:rPr>
          <w:color w:val="auto"/>
          <w:lang w:val="pl-PL"/>
        </w:rPr>
        <w:t xml:space="preserve"> Kraków, Poland</w:t>
      </w:r>
    </w:p>
    <w:p>
      <w:pPr>
        <w:tabs>
          <w:tab w:val="left" w:pos="2070"/>
        </w:tabs>
        <w:rPr>
          <w:lang w:val="fr-FR"/>
        </w:rPr>
      </w:pPr>
      <w:r>
        <w:rPr>
          <w:color w:val="auto"/>
          <w:lang w:val="fr-FR"/>
        </w:rPr>
        <w:t>E-mail address:</w:t>
      </w:r>
      <w:r>
        <w:rPr>
          <w:color w:val="auto"/>
          <w:lang w:val="fr-FR"/>
        </w:rPr>
        <w:tab/>
      </w:r>
      <w:r>
        <w:rPr>
          <w:rStyle w:val="Hyperlink"/>
          <w:rFonts w:cstheme="minorHAnsi"/>
          <w:lang w:val="fr-FR"/>
        </w:rPr>
        <w:t>witek.kilarski@gmail.com</w:t>
      </w:r>
    </w:p>
    <w:p>
      <w:pPr>
        <w:tabs>
          <w:tab w:val="left" w:pos="2070"/>
        </w:tabs>
        <w:rPr>
          <w:color w:val="auto"/>
          <w:lang w:val="en-US"/>
        </w:rPr>
      </w:pPr>
      <w:r>
        <w:rPr>
          <w:color w:val="auto"/>
          <w:lang w:val="en-US"/>
        </w:rPr>
        <w:t>Phone number:</w:t>
      </w:r>
      <w:r>
        <w:rPr>
          <w:color w:val="auto"/>
          <w:lang w:val="en-US"/>
        </w:rPr>
        <w:tab/>
        <w:t xml:space="preserve"> mobile: (+48) 782 473 130</w:t>
      </w:r>
    </w:p>
    <w:p>
      <w:pPr>
        <w:tabs>
          <w:tab w:val="left" w:pos="2070"/>
          <w:tab w:val="left" w:pos="2160"/>
        </w:tabs>
        <w:rPr>
          <w:rFonts w:cstheme="minorHAnsi"/>
          <w:color w:val="0000FF"/>
          <w:lang w:val="en-US"/>
        </w:rPr>
      </w:pPr>
      <w:r>
        <w:rPr>
          <w:rFonts w:cstheme="minorHAnsi"/>
          <w:color w:val="auto"/>
          <w:lang w:val="en-US"/>
        </w:rPr>
        <w:t>Web:</w:t>
      </w:r>
      <w:r>
        <w:rPr>
          <w:rFonts w:cstheme="minorHAnsi"/>
          <w:lang w:val="en-US"/>
        </w:rPr>
        <w:tab/>
      </w:r>
      <w:hyperlink r:id="rId13" w:history="1">
        <w:r>
          <w:rPr>
            <w:rStyle w:val="Hyperlink"/>
            <w:rFonts w:cstheme="minorHAnsi"/>
            <w:lang w:val="en-US"/>
          </w:rPr>
          <w:t>https://pme.uchicago.edu/fellows/people/witold-kilarski</w:t>
        </w:r>
      </w:hyperlink>
    </w:p>
    <w:p>
      <w:pPr>
        <w:pStyle w:val="Heading2"/>
        <w:spacing w:before="240" w:after="120"/>
        <w:rPr>
          <w:color w:val="auto"/>
        </w:rPr>
      </w:pPr>
      <w:bookmarkStart w:id="1" w:name="_Toc369009509"/>
      <w:bookmarkStart w:id="2" w:name="_Toc369009512"/>
      <w:r>
        <w:rPr>
          <w:color w:val="auto"/>
        </w:rPr>
        <w:t>Employment History</w:t>
      </w:r>
    </w:p>
    <w:p>
      <w:pPr>
        <w:ind w:left="2124" w:hanging="2124"/>
        <w:rPr>
          <w:color w:val="auto"/>
          <w:lang w:val="en-US"/>
        </w:rPr>
      </w:pPr>
      <w:r>
        <w:rPr>
          <w:color w:val="auto"/>
          <w:lang w:val="en-US"/>
        </w:rPr>
        <w:t>06/2017 – 07/2020</w:t>
      </w:r>
      <w:r>
        <w:rPr>
          <w:b/>
          <w:color w:val="auto"/>
          <w:lang w:val="en-US"/>
        </w:rPr>
        <w:tab/>
      </w:r>
      <w:r>
        <w:rPr>
          <w:color w:val="auto"/>
          <w:lang w:val="en-US"/>
        </w:rPr>
        <w:t>Research Assistant Profess</w:t>
      </w:r>
      <w:r>
        <w:rPr>
          <w:color w:val="auto"/>
        </w:rPr>
        <w:t>or at the Pritzker School of Molecular Engineering (PME)</w:t>
      </w:r>
      <w:r>
        <w:rPr>
          <w:color w:val="auto"/>
          <w:lang w:val="en-US"/>
        </w:rPr>
        <w:t xml:space="preserve">, </w:t>
      </w:r>
      <w:r>
        <w:rPr>
          <w:b/>
          <w:color w:val="auto"/>
          <w:lang w:val="en-US"/>
        </w:rPr>
        <w:t>University of Chicago, USA</w:t>
      </w:r>
    </w:p>
    <w:p>
      <w:pPr>
        <w:ind w:left="2070" w:hanging="2070"/>
        <w:rPr>
          <w:color w:val="auto"/>
          <w:lang w:val="en-US"/>
        </w:rPr>
      </w:pPr>
      <w:r>
        <w:rPr>
          <w:color w:val="auto"/>
          <w:lang w:val="en-US"/>
        </w:rPr>
        <w:t>07/2014 - 06/2017</w:t>
      </w:r>
      <w:r>
        <w:rPr>
          <w:color w:val="auto"/>
          <w:lang w:val="en-US"/>
        </w:rPr>
        <w:tab/>
      </w:r>
      <w:r>
        <w:rPr>
          <w:color w:val="auto"/>
        </w:rPr>
        <w:t>Postdoctoral Research Fellow (Senior Scientist)</w:t>
      </w:r>
      <w:r>
        <w:rPr>
          <w:color w:val="auto"/>
          <w:lang w:val="en-US"/>
        </w:rPr>
        <w:t xml:space="preserve"> at the laboratory of Melody Swartz, </w:t>
      </w:r>
      <w:r>
        <w:rPr>
          <w:color w:val="auto"/>
        </w:rPr>
        <w:t>Insti</w:t>
      </w:r>
      <w:r>
        <w:rPr>
          <w:color w:val="auto"/>
          <w:lang w:val="en-US"/>
        </w:rPr>
        <w:t xml:space="preserve">tute for Molecular Engineering (IME), </w:t>
      </w:r>
      <w:r>
        <w:rPr>
          <w:b/>
          <w:color w:val="auto"/>
          <w:lang w:val="en-US"/>
        </w:rPr>
        <w:t>University of Chicago, USA</w:t>
      </w:r>
    </w:p>
    <w:p>
      <w:pPr>
        <w:ind w:left="2124" w:hanging="2124"/>
        <w:rPr>
          <w:color w:val="auto"/>
          <w:lang w:val="en-US"/>
        </w:rPr>
      </w:pPr>
      <w:r>
        <w:rPr>
          <w:color w:val="auto"/>
          <w:lang w:val="en-US"/>
        </w:rPr>
        <w:t>02/2008 - 07/2014</w:t>
      </w:r>
      <w:r>
        <w:rPr>
          <w:b/>
          <w:color w:val="auto"/>
          <w:lang w:val="en-US"/>
        </w:rPr>
        <w:tab/>
      </w:r>
      <w:r>
        <w:rPr>
          <w:color w:val="auto"/>
          <w:lang w:val="en-US"/>
        </w:rPr>
        <w:t xml:space="preserve">Postdoctoral position at the Laboratory of Lymphatic and Cancer Bioengineering, led by Melody Swartz, </w:t>
      </w:r>
      <w:r>
        <w:rPr>
          <w:noProof/>
          <w:color w:val="auto"/>
          <w:lang w:val="en-US"/>
        </w:rPr>
        <w:t>Ph.D</w:t>
      </w:r>
      <w:r>
        <w:rPr>
          <w:color w:val="auto"/>
          <w:lang w:val="en-US"/>
        </w:rPr>
        <w:t xml:space="preserve">., at the </w:t>
      </w:r>
      <w:r>
        <w:rPr>
          <w:b/>
          <w:color w:val="auto"/>
          <w:lang w:val="en-US"/>
        </w:rPr>
        <w:t>École Polytechnique Fédérale</w:t>
      </w:r>
      <w:r>
        <w:rPr>
          <w:color w:val="auto"/>
          <w:lang w:val="en-US"/>
        </w:rPr>
        <w:t xml:space="preserve">, </w:t>
      </w:r>
      <w:r>
        <w:rPr>
          <w:b/>
          <w:color w:val="auto"/>
          <w:lang w:val="en-US"/>
        </w:rPr>
        <w:t>Lausanne, Switzerland</w:t>
      </w:r>
    </w:p>
    <w:p>
      <w:pPr>
        <w:ind w:left="2124" w:hanging="2124"/>
        <w:rPr>
          <w:color w:val="auto"/>
          <w:lang w:val="en-US"/>
        </w:rPr>
      </w:pPr>
      <w:r>
        <w:rPr>
          <w:color w:val="auto"/>
          <w:lang w:val="en-US"/>
        </w:rPr>
        <w:t>11/2005 - 12/2007</w:t>
      </w:r>
      <w:r>
        <w:rPr>
          <w:b/>
          <w:color w:val="auto"/>
          <w:lang w:val="en-US"/>
        </w:rPr>
        <w:tab/>
      </w:r>
      <w:r>
        <w:rPr>
          <w:color w:val="auto"/>
          <w:lang w:val="en-US"/>
        </w:rPr>
        <w:t>Postdoctoral position at the</w:t>
      </w:r>
      <w:r>
        <w:rPr>
          <w:b/>
          <w:color w:val="auto"/>
          <w:lang w:val="en-US"/>
        </w:rPr>
        <w:t xml:space="preserve"> </w:t>
      </w:r>
      <w:r>
        <w:rPr>
          <w:color w:val="auto"/>
          <w:lang w:val="en-US"/>
        </w:rPr>
        <w:t xml:space="preserve">Molecular Angiogenesis Laboratory led by Andreas Bikfalvi M.D., </w:t>
      </w:r>
      <w:r>
        <w:rPr>
          <w:noProof/>
          <w:color w:val="auto"/>
          <w:lang w:val="en-US"/>
        </w:rPr>
        <w:t>Ph.D</w:t>
      </w:r>
      <w:r>
        <w:rPr>
          <w:color w:val="auto"/>
          <w:lang w:val="en-US"/>
        </w:rPr>
        <w:t xml:space="preserve">. (INSERM U01029), at the </w:t>
      </w:r>
      <w:r>
        <w:rPr>
          <w:b/>
          <w:color w:val="auto"/>
          <w:lang w:val="en-US"/>
        </w:rPr>
        <w:t>Université de Bordeaux, France</w:t>
      </w:r>
    </w:p>
    <w:p>
      <w:pPr>
        <w:rPr>
          <w:rStyle w:val="BodyText2Char"/>
          <w:rFonts w:ascii="Gentium Plus" w:eastAsia="Times New Roman" w:hAnsi="Gentium Plus" w:cs="Gentium Plus"/>
          <w:i w:val="0"/>
          <w:color w:val="auto"/>
          <w:sz w:val="22"/>
        </w:rPr>
      </w:pPr>
      <w:r>
        <w:rPr>
          <w:color w:val="auto"/>
          <w:lang w:val="en-US"/>
        </w:rPr>
        <w:t>06/2005 - 11/2005</w:t>
      </w:r>
      <w:r>
        <w:rPr>
          <w:b/>
          <w:color w:val="auto"/>
          <w:lang w:val="en-US"/>
        </w:rPr>
        <w:tab/>
      </w:r>
      <w:r>
        <w:rPr>
          <w:color w:val="auto"/>
          <w:lang w:val="en-US"/>
        </w:rPr>
        <w:t xml:space="preserve">Postdoctoral position in the lab of Pär Gerwins, M.D., </w:t>
      </w:r>
      <w:r>
        <w:rPr>
          <w:noProof/>
          <w:color w:val="auto"/>
          <w:lang w:val="en-US"/>
        </w:rPr>
        <w:t>Ph.D</w:t>
      </w:r>
      <w:r>
        <w:rPr>
          <w:color w:val="auto"/>
          <w:lang w:val="en-US"/>
        </w:rPr>
        <w:t xml:space="preserve">., </w:t>
      </w:r>
      <w:r>
        <w:rPr>
          <w:b/>
          <w:color w:val="auto"/>
          <w:lang w:val="en-US"/>
        </w:rPr>
        <w:t>Uppsala</w:t>
      </w:r>
      <w:r>
        <w:rPr>
          <w:b/>
          <w:i/>
          <w:color w:val="auto"/>
          <w:lang w:val="en-US"/>
        </w:rPr>
        <w:t xml:space="preserve"> </w:t>
      </w:r>
      <w:r>
        <w:rPr>
          <w:b/>
          <w:color w:val="auto"/>
          <w:lang w:val="en-US"/>
        </w:rPr>
        <w:t>University, Sweden</w:t>
      </w:r>
    </w:p>
    <w:p>
      <w:pPr>
        <w:pStyle w:val="Heading2"/>
        <w:spacing w:before="240" w:after="120"/>
        <w:rPr>
          <w:color w:val="auto"/>
        </w:rPr>
      </w:pPr>
      <w:bookmarkStart w:id="3" w:name="_Toc369009507"/>
      <w:bookmarkStart w:id="4" w:name="_Toc509401994"/>
      <w:r>
        <w:rPr>
          <w:color w:val="auto"/>
        </w:rPr>
        <w:t>PhD</w:t>
      </w:r>
      <w:bookmarkEnd w:id="3"/>
      <w:bookmarkEnd w:id="4"/>
    </w:p>
    <w:p>
      <w:pPr>
        <w:ind w:left="1410" w:hanging="1410"/>
        <w:rPr>
          <w:color w:val="auto"/>
          <w:lang w:val="en-US"/>
        </w:rPr>
      </w:pPr>
      <w:r>
        <w:rPr>
          <w:rStyle w:val="BodyText2Char"/>
          <w:rFonts w:asciiTheme="minorHAnsi" w:hAnsiTheme="minorHAnsi" w:cstheme="minorHAnsi"/>
          <w:i w:val="0"/>
          <w:color w:val="auto"/>
          <w:sz w:val="22"/>
          <w:lang w:eastAsia="fr-FR"/>
        </w:rPr>
        <w:t>22 April 2005</w:t>
      </w:r>
      <w:r>
        <w:rPr>
          <w:rStyle w:val="BodyText2Char"/>
          <w:rFonts w:asciiTheme="minorHAnsi" w:hAnsiTheme="minorHAnsi" w:cstheme="minorHAnsi"/>
          <w:i w:val="0"/>
          <w:color w:val="auto"/>
          <w:sz w:val="22"/>
          <w:lang w:eastAsia="fr-FR"/>
        </w:rPr>
        <w:tab/>
      </w:r>
      <w:r>
        <w:rPr>
          <w:rFonts w:eastAsia="Times"/>
          <w:noProof/>
          <w:color w:val="auto"/>
          <w:lang w:val="en-US"/>
        </w:rPr>
        <w:t>Ph.D</w:t>
      </w:r>
      <w:r>
        <w:rPr>
          <w:rFonts w:eastAsia="Times"/>
          <w:color w:val="auto"/>
          <w:lang w:val="en-US"/>
        </w:rPr>
        <w:t>. (public defense</w:t>
      </w:r>
      <w:r>
        <w:rPr>
          <w:rStyle w:val="BodyText2Char"/>
          <w:rFonts w:asciiTheme="minorHAnsi" w:hAnsiTheme="minorHAnsi" w:cstheme="minorHAnsi"/>
          <w:i w:val="0"/>
          <w:color w:val="auto"/>
          <w:sz w:val="22"/>
        </w:rPr>
        <w:t xml:space="preserve"> on 8</w:t>
      </w:r>
      <w:r>
        <w:rPr>
          <w:rStyle w:val="BodyText2Char"/>
          <w:rFonts w:asciiTheme="minorHAnsi" w:hAnsiTheme="minorHAnsi" w:cstheme="minorHAnsi"/>
          <w:i w:val="0"/>
          <w:color w:val="auto"/>
          <w:sz w:val="22"/>
          <w:vertAlign w:val="superscript"/>
        </w:rPr>
        <w:t>th</w:t>
      </w:r>
      <w:r>
        <w:rPr>
          <w:rStyle w:val="BodyText2Char"/>
          <w:rFonts w:asciiTheme="minorHAnsi" w:hAnsiTheme="minorHAnsi" w:cstheme="minorHAnsi"/>
          <w:i w:val="0"/>
          <w:color w:val="auto"/>
          <w:sz w:val="22"/>
        </w:rPr>
        <w:t xml:space="preserve"> of April) </w:t>
      </w:r>
      <w:r>
        <w:rPr>
          <w:rStyle w:val="BodyText2Char"/>
          <w:rFonts w:asciiTheme="minorHAnsi" w:hAnsiTheme="minorHAnsi" w:cstheme="minorHAnsi"/>
          <w:i w:val="0"/>
          <w:noProof/>
          <w:color w:val="auto"/>
          <w:sz w:val="22"/>
        </w:rPr>
        <w:t>Thesis:</w:t>
      </w:r>
      <w:r>
        <w:rPr>
          <w:rStyle w:val="BodyText2Char"/>
          <w:rFonts w:asciiTheme="minorHAnsi" w:hAnsiTheme="minorHAnsi" w:cstheme="minorHAnsi"/>
          <w:i w:val="0"/>
          <w:color w:val="auto"/>
          <w:sz w:val="22"/>
        </w:rPr>
        <w:t xml:space="preserve"> </w:t>
      </w:r>
      <w:hyperlink r:id="rId14" w:history="1">
        <w:r>
          <w:rPr>
            <w:rStyle w:val="Hyperlink"/>
            <w:rFonts w:cstheme="minorHAnsi"/>
            <w:color w:val="595959" w:themeColor="text1" w:themeTint="A6"/>
            <w:lang w:val="en-US"/>
          </w:rPr>
          <w:t>"</w:t>
        </w:r>
        <w:r>
          <w:rPr>
            <w:rStyle w:val="Hyperlink"/>
          </w:rPr>
          <w:t>Mechanism of tissue vascularization</w:t>
        </w:r>
        <w:r>
          <w:rPr>
            <w:rStyle w:val="Hyperlink"/>
            <w:rFonts w:cstheme="minorHAnsi"/>
            <w:color w:val="595959" w:themeColor="text1" w:themeTint="A6"/>
            <w:lang w:val="en-US"/>
          </w:rPr>
          <w:t>"</w:t>
        </w:r>
      </w:hyperlink>
      <w:r>
        <w:rPr>
          <w:rStyle w:val="Hyperlink"/>
          <w:rFonts w:cstheme="minorHAnsi"/>
          <w:color w:val="595959" w:themeColor="text1" w:themeTint="A6"/>
          <w:lang w:val="en-US"/>
        </w:rPr>
        <w:t xml:space="preserve"> </w:t>
      </w:r>
      <w:r>
        <w:rPr>
          <w:rStyle w:val="Hyperlink"/>
          <w:rFonts w:cstheme="minorHAnsi"/>
          <w:color w:val="auto"/>
          <w:lang w:val="en-US"/>
        </w:rPr>
        <w:t xml:space="preserve">defended </w:t>
      </w:r>
      <w:r>
        <w:rPr>
          <w:color w:val="auto"/>
          <w:lang w:val="en-US"/>
        </w:rPr>
        <w:t>at the</w:t>
      </w:r>
      <w:r>
        <w:rPr>
          <w:rStyle w:val="Hyperlink"/>
          <w:rFonts w:cstheme="minorHAnsi"/>
          <w:color w:val="auto"/>
          <w:lang w:val="en-US"/>
        </w:rPr>
        <w:t xml:space="preserve"> </w:t>
      </w:r>
      <w:r>
        <w:rPr>
          <w:color w:val="auto"/>
          <w:lang w:val="en-US"/>
        </w:rPr>
        <w:t xml:space="preserve">Faculty of Medicine in the Vascular Biology Unit, </w:t>
      </w:r>
      <w:r>
        <w:rPr>
          <w:b/>
          <w:color w:val="auto"/>
          <w:lang w:val="en-US"/>
        </w:rPr>
        <w:t>Rudbeck Laboratory</w:t>
      </w:r>
      <w:r>
        <w:rPr>
          <w:color w:val="auto"/>
          <w:lang w:val="en-US"/>
        </w:rPr>
        <w:t xml:space="preserve">, </w:t>
      </w:r>
      <w:r>
        <w:rPr>
          <w:b/>
          <w:color w:val="auto"/>
          <w:lang w:val="en-US"/>
        </w:rPr>
        <w:t>Uppsala University</w:t>
      </w:r>
      <w:r>
        <w:rPr>
          <w:color w:val="auto"/>
          <w:lang w:val="en-US"/>
        </w:rPr>
        <w:t>.</w:t>
      </w:r>
      <w:r>
        <w:rPr>
          <w:i/>
          <w:color w:val="auto"/>
          <w:lang w:val="en-US"/>
        </w:rPr>
        <w:t xml:space="preserve"> </w:t>
      </w:r>
      <w:r>
        <w:rPr>
          <w:color w:val="auto"/>
          <w:lang w:val="en-US"/>
        </w:rPr>
        <w:t xml:space="preserve">Supervised by Pär Gerwins, M.D., </w:t>
      </w:r>
      <w:r>
        <w:rPr>
          <w:noProof/>
          <w:color w:val="auto"/>
          <w:lang w:val="en-US"/>
        </w:rPr>
        <w:t>Ph.D</w:t>
      </w:r>
      <w:r>
        <w:rPr>
          <w:color w:val="auto"/>
          <w:lang w:val="en-US"/>
        </w:rPr>
        <w:t xml:space="preserve">. </w:t>
      </w:r>
      <w:r>
        <w:rPr>
          <w:noProof/>
          <w:color w:val="auto"/>
          <w:lang w:val="en-US"/>
        </w:rPr>
        <w:t>and</w:t>
      </w:r>
      <w:r>
        <w:rPr>
          <w:color w:val="auto"/>
          <w:lang w:val="en-US"/>
        </w:rPr>
        <w:t xml:space="preserve"> Lena Claesson-Welsh, Ph.D.</w:t>
      </w:r>
    </w:p>
    <w:p>
      <w:pPr>
        <w:rPr>
          <w:rFonts w:eastAsia="Times"/>
          <w:color w:val="auto"/>
          <w:lang w:val="en-US"/>
        </w:rPr>
      </w:pPr>
      <w:r>
        <w:rPr>
          <w:rStyle w:val="BodyText2Char"/>
          <w:rFonts w:asciiTheme="minorHAnsi" w:hAnsiTheme="minorHAnsi" w:cstheme="minorHAnsi"/>
          <w:i w:val="0"/>
          <w:color w:val="auto"/>
          <w:sz w:val="22"/>
          <w:lang w:eastAsia="fr-FR"/>
        </w:rPr>
        <w:t>1999-2005</w:t>
      </w:r>
      <w:r>
        <w:rPr>
          <w:rStyle w:val="BodyText2Char"/>
          <w:rFonts w:asciiTheme="minorHAnsi" w:hAnsiTheme="minorHAnsi" w:cstheme="minorHAnsi"/>
          <w:b/>
          <w:i w:val="0"/>
          <w:color w:val="auto"/>
          <w:sz w:val="22"/>
          <w:lang w:eastAsia="fr-FR"/>
        </w:rPr>
        <w:tab/>
      </w:r>
      <w:r>
        <w:rPr>
          <w:rStyle w:val="BodyText2Char"/>
          <w:rFonts w:asciiTheme="minorHAnsi" w:hAnsiTheme="minorHAnsi" w:cstheme="minorHAnsi"/>
          <w:i w:val="0"/>
          <w:noProof/>
          <w:color w:val="auto"/>
          <w:sz w:val="22"/>
          <w:lang w:eastAsia="fr-FR"/>
        </w:rPr>
        <w:t xml:space="preserve">Doctoral </w:t>
      </w:r>
      <w:r>
        <w:rPr>
          <w:rStyle w:val="BodyText2Char"/>
          <w:rFonts w:asciiTheme="minorHAnsi" w:hAnsiTheme="minorHAnsi" w:cstheme="minorHAnsi"/>
          <w:i w:val="0"/>
          <w:color w:val="auto"/>
          <w:sz w:val="22"/>
          <w:lang w:eastAsia="fr-FR"/>
        </w:rPr>
        <w:t xml:space="preserve">studies at the </w:t>
      </w:r>
      <w:r>
        <w:rPr>
          <w:color w:val="auto"/>
          <w:lang w:val="en-US"/>
        </w:rPr>
        <w:t>Uppsala University, Sweden</w:t>
      </w:r>
    </w:p>
    <w:p>
      <w:pPr>
        <w:pStyle w:val="Heading2"/>
        <w:spacing w:before="240" w:after="120"/>
        <w:rPr>
          <w:color w:val="auto"/>
        </w:rPr>
      </w:pPr>
      <w:bookmarkStart w:id="5" w:name="_Toc369009508"/>
      <w:bookmarkStart w:id="6" w:name="_Toc509401995"/>
      <w:r>
        <w:rPr>
          <w:color w:val="auto"/>
        </w:rPr>
        <w:t>MSc</w:t>
      </w:r>
      <w:bookmarkEnd w:id="5"/>
      <w:bookmarkEnd w:id="6"/>
    </w:p>
    <w:p>
      <w:pPr>
        <w:rPr>
          <w:color w:val="auto"/>
          <w:lang w:val="en-US"/>
        </w:rPr>
      </w:pPr>
      <w:r>
        <w:rPr>
          <w:rStyle w:val="BodyText2Char"/>
          <w:rFonts w:asciiTheme="minorHAnsi" w:hAnsiTheme="minorHAnsi" w:cstheme="minorHAnsi"/>
          <w:i w:val="0"/>
          <w:color w:val="auto"/>
          <w:sz w:val="22"/>
        </w:rPr>
        <w:t>21 June 1999</w:t>
      </w:r>
      <w:r>
        <w:rPr>
          <w:rStyle w:val="BodyText2Char"/>
          <w:rFonts w:asciiTheme="minorHAnsi" w:hAnsiTheme="minorHAnsi" w:cstheme="minorHAnsi"/>
          <w:color w:val="auto"/>
          <w:sz w:val="22"/>
        </w:rPr>
        <w:tab/>
      </w:r>
      <w:r>
        <w:rPr>
          <w:rStyle w:val="Italic"/>
          <w:rFonts w:eastAsia="Times" w:cstheme="minorHAnsi"/>
          <w:i w:val="0"/>
          <w:noProof/>
          <w:color w:val="auto"/>
          <w:lang w:val="en-US"/>
        </w:rPr>
        <w:t>M. Sc.</w:t>
      </w:r>
      <w:r>
        <w:rPr>
          <w:rStyle w:val="Italic"/>
          <w:rFonts w:eastAsia="Times" w:cstheme="minorHAnsi"/>
          <w:i w:val="0"/>
          <w:color w:val="auto"/>
          <w:lang w:val="en-US"/>
        </w:rPr>
        <w:t xml:space="preserve"> in Biology with specialization in Molecular Biology (</w:t>
      </w:r>
      <w:r>
        <w:rPr>
          <w:color w:val="auto"/>
          <w:lang w:val="en-US"/>
        </w:rPr>
        <w:t>g</w:t>
      </w:r>
      <w:r>
        <w:rPr>
          <w:rStyle w:val="Italic"/>
          <w:rFonts w:eastAsia="Times" w:cstheme="minorHAnsi"/>
          <w:i w:val="0"/>
          <w:color w:val="auto"/>
          <w:lang w:val="en-US"/>
        </w:rPr>
        <w:t>raded with distinction)</w:t>
      </w:r>
    </w:p>
    <w:p>
      <w:pPr>
        <w:ind w:left="708" w:firstLine="708"/>
        <w:rPr>
          <w:rStyle w:val="Italic"/>
          <w:rFonts w:cstheme="minorHAnsi"/>
          <w:color w:val="auto"/>
          <w:lang w:val="en-US"/>
        </w:rPr>
      </w:pPr>
      <w:r>
        <w:rPr>
          <w:rStyle w:val="NormalWebChar"/>
          <w:rFonts w:cstheme="minorHAnsi"/>
          <w:color w:val="auto"/>
          <w:sz w:val="22"/>
          <w:szCs w:val="22"/>
        </w:rPr>
        <w:t>Thesis</w:t>
      </w:r>
      <w:r>
        <w:rPr>
          <w:rStyle w:val="Italic"/>
          <w:rFonts w:cstheme="minorHAnsi"/>
          <w:i w:val="0"/>
          <w:color w:val="auto"/>
          <w:lang w:val="en-US"/>
        </w:rPr>
        <w:t>: "</w:t>
      </w:r>
      <w:r>
        <w:rPr>
          <w:rStyle w:val="Italic"/>
          <w:rFonts w:cstheme="minorHAnsi"/>
          <w:noProof/>
          <w:color w:val="auto"/>
          <w:lang w:val="en-US"/>
        </w:rPr>
        <w:t>Thermodynamics</w:t>
      </w:r>
      <w:r>
        <w:rPr>
          <w:rStyle w:val="Italic"/>
          <w:rFonts w:cstheme="minorHAnsi"/>
          <w:color w:val="auto"/>
          <w:lang w:val="en-US"/>
        </w:rPr>
        <w:t xml:space="preserve"> of zinc binding to Inter-</w:t>
      </w:r>
      <w:r>
        <w:rPr>
          <w:rStyle w:val="Italic"/>
          <w:rFonts w:cstheme="minorHAnsi"/>
          <w:color w:val="auto"/>
          <w:lang w:val="en-US"/>
        </w:rPr>
        <w:sym w:font="Symbol" w:char="F061"/>
      </w:r>
      <w:r>
        <w:rPr>
          <w:rStyle w:val="Italic"/>
          <w:rFonts w:cstheme="minorHAnsi"/>
          <w:color w:val="auto"/>
          <w:lang w:val="en-US"/>
        </w:rPr>
        <w:t xml:space="preserve">-Inhibitor and its heavy </w:t>
      </w:r>
      <w:r>
        <w:rPr>
          <w:rStyle w:val="Italic"/>
          <w:rFonts w:cstheme="minorHAnsi"/>
          <w:noProof/>
          <w:color w:val="auto"/>
          <w:lang w:val="en-US"/>
        </w:rPr>
        <w:t>chains.</w:t>
      </w:r>
      <w:r>
        <w:rPr>
          <w:rStyle w:val="Italic"/>
          <w:rFonts w:cstheme="minorHAnsi"/>
          <w:i w:val="0"/>
          <w:noProof/>
          <w:color w:val="auto"/>
          <w:lang w:val="en-US"/>
        </w:rPr>
        <w:t>"</w:t>
      </w:r>
    </w:p>
    <w:p>
      <w:pPr>
        <w:rPr>
          <w:bCs/>
          <w:color w:val="auto"/>
          <w:lang w:val="en-US"/>
        </w:rPr>
      </w:pPr>
      <w:r>
        <w:rPr>
          <w:rStyle w:val="Italic"/>
          <w:rFonts w:eastAsia="Times" w:cstheme="minorHAnsi"/>
          <w:i w:val="0"/>
          <w:color w:val="auto"/>
          <w:lang w:val="en-US"/>
        </w:rPr>
        <w:t xml:space="preserve">1994-1999 </w:t>
      </w:r>
      <w:r>
        <w:rPr>
          <w:rStyle w:val="Italic"/>
          <w:rFonts w:eastAsia="Times" w:cstheme="minorHAnsi"/>
          <w:i w:val="0"/>
          <w:color w:val="auto"/>
          <w:lang w:val="en-US"/>
        </w:rPr>
        <w:tab/>
        <w:t xml:space="preserve">Master's studies at the </w:t>
      </w:r>
      <w:r>
        <w:rPr>
          <w:color w:val="auto"/>
          <w:lang w:val="en-US"/>
        </w:rPr>
        <w:t>Institute of Molecular Biology</w:t>
      </w:r>
      <w:r>
        <w:rPr>
          <w:rStyle w:val="Italic"/>
          <w:rFonts w:eastAsia="Times" w:cstheme="minorHAnsi"/>
          <w:b/>
          <w:bCs/>
          <w:i w:val="0"/>
          <w:color w:val="auto"/>
          <w:lang w:val="en-US"/>
        </w:rPr>
        <w:t xml:space="preserve">, </w:t>
      </w:r>
      <w:r>
        <w:rPr>
          <w:b/>
          <w:bCs/>
          <w:color w:val="auto"/>
          <w:lang w:val="en-US"/>
        </w:rPr>
        <w:t>Jagiellonian University in Krakow, Poland</w:t>
      </w:r>
    </w:p>
    <w:p>
      <w:pPr>
        <w:pStyle w:val="Heading2"/>
        <w:spacing w:before="240" w:after="120"/>
        <w:rPr>
          <w:color w:val="auto"/>
        </w:rPr>
      </w:pPr>
      <w:r>
        <w:rPr>
          <w:color w:val="auto"/>
        </w:rPr>
        <w:t>Earlier Lab Experience</w:t>
      </w:r>
    </w:p>
    <w:p>
      <w:pPr>
        <w:ind w:left="1410" w:hanging="1410"/>
        <w:rPr>
          <w:color w:val="auto"/>
          <w:lang w:val="en-US"/>
        </w:rPr>
      </w:pPr>
      <w:r>
        <w:rPr>
          <w:color w:val="auto"/>
          <w:lang w:val="en-US"/>
        </w:rPr>
        <w:t>2002</w:t>
      </w:r>
      <w:r>
        <w:rPr>
          <w:b/>
          <w:color w:val="auto"/>
          <w:lang w:val="en-US"/>
        </w:rPr>
        <w:tab/>
      </w:r>
      <w:r>
        <w:rPr>
          <w:color w:val="auto"/>
          <w:lang w:val="en-US"/>
        </w:rPr>
        <w:t xml:space="preserve">Project on xenograft bone marrow transplantation between a </w:t>
      </w:r>
      <w:r>
        <w:rPr>
          <w:noProof/>
          <w:color w:val="auto"/>
          <w:lang w:val="en-US"/>
        </w:rPr>
        <w:t xml:space="preserve">chicken </w:t>
      </w:r>
      <w:r>
        <w:rPr>
          <w:color w:val="auto"/>
          <w:lang w:val="en-US"/>
        </w:rPr>
        <w:t xml:space="preserve">and a mouse host in Prof. MZ Ratajczak lab, Stem Cell Biology Institute at the </w:t>
      </w:r>
      <w:r>
        <w:rPr>
          <w:b/>
          <w:color w:val="auto"/>
          <w:lang w:val="en-US"/>
        </w:rPr>
        <w:t>University of Louisville</w:t>
      </w:r>
      <w:r>
        <w:rPr>
          <w:color w:val="auto"/>
          <w:lang w:val="en-US"/>
        </w:rPr>
        <w:t xml:space="preserve"> (two months)</w:t>
      </w:r>
    </w:p>
    <w:p>
      <w:pPr>
        <w:ind w:left="1410" w:hanging="1410"/>
        <w:rPr>
          <w:color w:val="auto"/>
          <w:lang w:val="en-US"/>
        </w:rPr>
      </w:pPr>
      <w:r>
        <w:rPr>
          <w:color w:val="auto"/>
          <w:lang w:val="en-US"/>
        </w:rPr>
        <w:t>1998-1999</w:t>
      </w:r>
      <w:r>
        <w:rPr>
          <w:color w:val="auto"/>
          <w:lang w:val="en-US"/>
        </w:rPr>
        <w:tab/>
        <w:t xml:space="preserve">Research assistant in the lab of Prof. T Kordula at the Institute of Molecular Biology at the </w:t>
      </w:r>
      <w:r>
        <w:rPr>
          <w:b/>
          <w:color w:val="auto"/>
          <w:lang w:val="en-US"/>
        </w:rPr>
        <w:t>Jagiellonian University</w:t>
      </w:r>
      <w:r>
        <w:rPr>
          <w:color w:val="auto"/>
          <w:lang w:val="en-US"/>
        </w:rPr>
        <w:t xml:space="preserve"> (1 year). Establishing cloning, </w:t>
      </w:r>
      <w:r>
        <w:rPr>
          <w:noProof/>
          <w:color w:val="auto"/>
          <w:lang w:val="en-US"/>
        </w:rPr>
        <w:t>PCR,</w:t>
      </w:r>
      <w:r>
        <w:rPr>
          <w:color w:val="auto"/>
          <w:lang w:val="en-US"/>
        </w:rPr>
        <w:t xml:space="preserve"> and other molecular biology tools.</w:t>
      </w:r>
    </w:p>
    <w:p>
      <w:pPr>
        <w:ind w:left="1410" w:hanging="1410"/>
        <w:rPr>
          <w:color w:val="auto"/>
          <w:lang w:val="en-US"/>
        </w:rPr>
      </w:pPr>
      <w:r>
        <w:rPr>
          <w:color w:val="auto"/>
          <w:lang w:val="en-US"/>
        </w:rPr>
        <w:t>1998</w:t>
      </w:r>
      <w:r>
        <w:rPr>
          <w:color w:val="auto"/>
          <w:lang w:val="en-US"/>
        </w:rPr>
        <w:tab/>
        <w:t xml:space="preserve">Six-month research project in the lab of Erik Fries at the </w:t>
      </w:r>
      <w:r>
        <w:rPr>
          <w:rFonts w:cstheme="minorHAnsi"/>
          <w:color w:val="auto"/>
          <w:lang w:val="en-US"/>
        </w:rPr>
        <w:t>Department of Medical Biochemistry and Microbiology</w:t>
      </w:r>
      <w:r>
        <w:rPr>
          <w:color w:val="auto"/>
          <w:lang w:val="en-US"/>
        </w:rPr>
        <w:t xml:space="preserve">, </w:t>
      </w:r>
      <w:r>
        <w:rPr>
          <w:b/>
          <w:color w:val="auto"/>
          <w:lang w:val="en-US"/>
        </w:rPr>
        <w:t>Uppsala University</w:t>
      </w:r>
      <w:r>
        <w:rPr>
          <w:color w:val="auto"/>
          <w:lang w:val="en-US"/>
        </w:rPr>
        <w:t xml:space="preserve"> with the aim to solve </w:t>
      </w:r>
      <w:r>
        <w:rPr>
          <w:noProof/>
          <w:color w:val="auto"/>
          <w:lang w:val="en-US"/>
        </w:rPr>
        <w:t>a paradoxical</w:t>
      </w:r>
      <w:r>
        <w:rPr>
          <w:color w:val="auto"/>
          <w:lang w:val="en-US"/>
        </w:rPr>
        <w:t xml:space="preserve"> problem of defining thermodynamic properties of zinc ions binding to a serum protein (inter-α-inhibitor) that is unstable in millimolar zinc concentrations. </w:t>
      </w:r>
    </w:p>
    <w:p>
      <w:pPr>
        <w:ind w:left="1410" w:hanging="1410"/>
        <w:rPr>
          <w:lang w:val="en-US"/>
        </w:rPr>
      </w:pPr>
    </w:p>
    <w:p>
      <w:pPr>
        <w:pStyle w:val="Heading2"/>
        <w:rPr>
          <w:color w:val="auto"/>
        </w:rPr>
      </w:pPr>
      <w:bookmarkStart w:id="7" w:name="_Toc509401996"/>
      <w:r>
        <w:rPr>
          <w:color w:val="auto"/>
        </w:rPr>
        <w:lastRenderedPageBreak/>
        <w:t>Research Interests</w:t>
      </w:r>
      <w:bookmarkEnd w:id="7"/>
    </w:p>
    <w:p>
      <w:pPr>
        <w:pStyle w:val="Heading3"/>
        <w:spacing w:before="120"/>
        <w:rPr>
          <w:lang w:val="en-US"/>
        </w:rPr>
      </w:pPr>
      <w:r>
        <w:rPr>
          <w:lang w:val="en-US"/>
        </w:rPr>
        <w:t>Anti-thrombotic properties of lymphatic endothelium</w:t>
      </w:r>
    </w:p>
    <w:p>
      <w:pPr>
        <w:pStyle w:val="Withintent"/>
        <w:tabs>
          <w:tab w:val="clear" w:pos="450"/>
          <w:tab w:val="left" w:pos="2070"/>
        </w:tabs>
        <w:ind w:left="0" w:firstLine="0"/>
        <w:rPr>
          <w:rStyle w:val="NointentChar"/>
          <w:color w:val="auto"/>
          <w:lang w:val="en-US"/>
        </w:rPr>
      </w:pPr>
      <w:r>
        <w:rPr>
          <w:color w:val="auto"/>
          <w:lang w:val="en-US"/>
        </w:rPr>
        <w:t>Lymph</w:t>
      </w:r>
      <w:r>
        <w:rPr>
          <w:rStyle w:val="NointentChar"/>
          <w:color w:val="auto"/>
          <w:lang w:val="en-US"/>
        </w:rPr>
        <w:t xml:space="preserve"> never clots as long as it stays within lymphatic or blood vessels; it is a truism recognized since the first description of lymphatics by Rudbeck. However, the mechanism behind the lymphatic abilities to counteract lymph thrombosis has never been studied despite that its dysregulation might contribute to lymphedema or even venous embolism. My recent results showed that anti-thrombotic properties are critical for the preservation of lymphatic drainage, and that similar to blood vessels, lymphatic endothelium forms a unique surface capable of maintaining a clottable plasma in its liquid state. The anti-thrombotic features of the lymphatics, their dysregulation in the disease, and derived therapeutic opportunities are the subject of my recent unpublished work and the core of my planned research. </w:t>
      </w:r>
    </w:p>
    <w:p>
      <w:pPr>
        <w:pStyle w:val="Withintent"/>
        <w:tabs>
          <w:tab w:val="clear" w:pos="450"/>
          <w:tab w:val="left" w:pos="2070"/>
        </w:tabs>
        <w:ind w:left="0" w:firstLine="0"/>
        <w:rPr>
          <w:color w:val="auto"/>
          <w:lang w:val="en-US"/>
        </w:rPr>
      </w:pPr>
    </w:p>
    <w:p>
      <w:pPr>
        <w:pStyle w:val="Heading3"/>
        <w:rPr>
          <w:spacing w:val="10"/>
          <w:lang w:val="en-US"/>
        </w:rPr>
      </w:pPr>
      <w:bookmarkStart w:id="8" w:name="_Toc509401997"/>
      <w:r>
        <w:rPr>
          <w:spacing w:val="10"/>
          <w:lang w:val="en-US"/>
        </w:rPr>
        <w:t>Subcutaneous allograft of humoral (e.g., pancreatic islets</w:t>
      </w:r>
      <w:bookmarkEnd w:id="8"/>
      <w:r>
        <w:rPr>
          <w:spacing w:val="10"/>
          <w:lang w:val="en-US"/>
        </w:rPr>
        <w:t>) tissue</w:t>
      </w:r>
    </w:p>
    <w:p>
      <w:pPr>
        <w:pStyle w:val="Nointent"/>
        <w:rPr>
          <w:color w:val="auto"/>
          <w:lang w:val="en-US"/>
        </w:rPr>
      </w:pPr>
      <w:r>
        <w:rPr>
          <w:color w:val="auto"/>
          <w:lang w:val="en-US"/>
        </w:rPr>
        <w:t xml:space="preserve">Fault tolerance of lymphatic vessels makes them a relatively safe target for proxy therapeutic intervention, where modification of lymphatics is barely a means to influence other, more sensitive systems, such as blood vessels or immunity. </w:t>
      </w:r>
      <w:r>
        <w:rPr>
          <w:rStyle w:val="NointentChar"/>
          <w:color w:val="auto"/>
          <w:lang w:val="en-US"/>
        </w:rPr>
        <w:t xml:space="preserve">For example, hyperplastic lymphatic capillaries generated before subcutaneous grafting increase the micro density of blood vessels and might mitigate fibrosis by buffering tissue tension. Contrary, blocking anti-thrombotic properties of lymphatic collectors with, e.g., lymphatic-specific photodynamic therapy (PDT), leads to intralymphatic </w:t>
      </w:r>
      <w:r>
        <w:rPr>
          <w:noProof/>
          <w:color w:val="auto"/>
          <w:lang w:val="en-US"/>
        </w:rPr>
        <w:t>thrombosis</w:t>
      </w:r>
      <w:r>
        <w:rPr>
          <w:color w:val="auto"/>
          <w:lang w:val="en-US"/>
        </w:rPr>
        <w:t xml:space="preserve"> that </w:t>
      </w:r>
      <w:r>
        <w:rPr>
          <w:noProof/>
          <w:color w:val="auto"/>
          <w:lang w:val="en-US"/>
        </w:rPr>
        <w:t>prevents</w:t>
      </w:r>
      <w:r>
        <w:rPr>
          <w:color w:val="auto"/>
          <w:lang w:val="en-US"/>
        </w:rPr>
        <w:t xml:space="preserve"> antigen drainage and </w:t>
      </w:r>
      <w:r>
        <w:rPr>
          <w:noProof/>
          <w:color w:val="auto"/>
          <w:lang w:val="en-US"/>
        </w:rPr>
        <w:t>allows immunosuppression-free allografting within the generated</w:t>
      </w:r>
      <w:r>
        <w:rPr>
          <w:color w:val="auto"/>
          <w:lang w:val="en-US"/>
        </w:rPr>
        <w:t xml:space="preserve"> </w:t>
      </w:r>
      <w:r>
        <w:rPr>
          <w:noProof/>
          <w:color w:val="auto"/>
          <w:lang w:val="en-US"/>
        </w:rPr>
        <w:t>immune-privileged</w:t>
      </w:r>
      <w:r>
        <w:rPr>
          <w:color w:val="auto"/>
          <w:lang w:val="en-US"/>
        </w:rPr>
        <w:t xml:space="preserve"> zone. </w:t>
      </w:r>
      <w:r>
        <w:rPr>
          <w:noProof/>
          <w:color w:val="auto"/>
          <w:lang w:val="en-US"/>
        </w:rPr>
        <w:t>The subcutaneous</w:t>
      </w:r>
      <w:r>
        <w:rPr>
          <w:color w:val="auto"/>
          <w:lang w:val="en-US"/>
        </w:rPr>
        <w:t xml:space="preserve"> graft can additionally benefit from the off-target effects of VEGF-C on blood vessels. For instance, </w:t>
      </w:r>
      <w:r>
        <w:rPr>
          <w:noProof/>
          <w:color w:val="auto"/>
          <w:lang w:val="en-US"/>
        </w:rPr>
        <w:t>stimulation of</w:t>
      </w:r>
      <w:r>
        <w:rPr>
          <w:color w:val="auto"/>
          <w:lang w:val="en-US"/>
        </w:rPr>
        <w:t xml:space="preserve"> the pro-lymphangiogenic pathway with </w:t>
      </w:r>
      <w:r>
        <w:rPr>
          <w:noProof/>
          <w:color w:val="auto"/>
          <w:lang w:val="en-US"/>
        </w:rPr>
        <w:t>VEGF-C</w:t>
      </w:r>
      <w:r>
        <w:rPr>
          <w:color w:val="auto"/>
          <w:lang w:val="en-US"/>
        </w:rPr>
        <w:t xml:space="preserve"> might delay the ingrowth of pro-fibrotic granulation tissue, while the inhibition of the re-growth of lymphatic collectors after PDT could protect the subcutaneous allograft from immune-recognition. The spatial and temporal combination of these seemingly contradicting approaches can enhance the vascularization of </w:t>
      </w:r>
      <w:r>
        <w:rPr>
          <w:b/>
          <w:bCs/>
          <w:color w:val="auto"/>
          <w:lang w:val="en-US"/>
        </w:rPr>
        <w:t>subcutaneously grafted humoral tissues</w:t>
      </w:r>
      <w:r>
        <w:rPr>
          <w:color w:val="auto"/>
          <w:lang w:val="en-US"/>
        </w:rPr>
        <w:t xml:space="preserve"> while protecting</w:t>
      </w:r>
      <w:r>
        <w:rPr>
          <w:b/>
          <w:bCs/>
          <w:color w:val="auto"/>
          <w:lang w:val="en-US"/>
        </w:rPr>
        <w:t xml:space="preserve"> </w:t>
      </w:r>
      <w:r>
        <w:rPr>
          <w:color w:val="auto"/>
          <w:lang w:val="en-US"/>
        </w:rPr>
        <w:t>the ectopic implants from host immunorecognition.</w:t>
      </w:r>
    </w:p>
    <w:p>
      <w:pPr>
        <w:pStyle w:val="Nointent"/>
        <w:rPr>
          <w:color w:val="auto"/>
          <w:lang w:val="en-US"/>
        </w:rPr>
      </w:pPr>
    </w:p>
    <w:p>
      <w:pPr>
        <w:pStyle w:val="Heading3"/>
      </w:pPr>
      <w:r>
        <w:t>Lipedema – a non-inflammatory disease of the extracellular matrix</w:t>
      </w:r>
    </w:p>
    <w:p>
      <w:pPr>
        <w:pStyle w:val="Nointent"/>
        <w:rPr>
          <w:color w:val="auto"/>
          <w:lang w:val="en-US"/>
        </w:rPr>
      </w:pPr>
      <w:r>
        <w:rPr>
          <w:b/>
          <w:color w:val="auto"/>
          <w:lang w:val="en-US"/>
        </w:rPr>
        <w:t>Lipedema</w:t>
      </w:r>
      <w:r>
        <w:rPr>
          <w:color w:val="auto"/>
          <w:lang w:val="en-US"/>
        </w:rPr>
        <w:t xml:space="preserve"> is an idiopathic disease where adipocyte overgrowth is located mainly along the thighs and buttocks. In the absence of experimental results, the explanation of this condition is primarily speculative, with an abnormality in lymphatics, sex hormones, or inflammatory events functioning as the most probable hypothesis. My hypothesis, however, points to case reports that show the absence of major inflammatory manifestations in the fat and a lack of functional abnormality in blood and lymphatic vessels as well as the peripheral psychomotor nerves. Instead, my hypothesis postulates that the prime cause of the disease is caused by low stiffness and high compliance of the skin, which in turn is a result of abnormal cross-linking and deposition of structural proteins. This view should be verified with an experimental approach, where the number and quality of cross-links within the extracellular matrix scaffold proteins will be correlated with the structural organization of the tissue. Notably, the design of the experiments should unequivocally support or exclude my hypothesis, narrowing the need for further experimentation.</w:t>
      </w:r>
    </w:p>
    <w:p>
      <w:pPr>
        <w:pStyle w:val="Nointent"/>
        <w:rPr>
          <w:color w:val="auto"/>
          <w:lang w:val="en-US"/>
        </w:rPr>
      </w:pPr>
    </w:p>
    <w:p>
      <w:pPr>
        <w:pStyle w:val="Heading3"/>
        <w:rPr>
          <w:spacing w:val="10"/>
          <w:lang w:val="en-US"/>
        </w:rPr>
      </w:pPr>
      <w:r>
        <w:rPr>
          <w:spacing w:val="10"/>
          <w:lang w:val="en-US"/>
        </w:rPr>
        <w:t xml:space="preserve">Infective filaria as a tumor vaccine </w:t>
      </w:r>
    </w:p>
    <w:p>
      <w:pPr>
        <w:pStyle w:val="Nointent"/>
        <w:rPr>
          <w:color w:val="auto"/>
          <w:lang w:val="en-US"/>
        </w:rPr>
      </w:pPr>
      <w:r>
        <w:rPr>
          <w:color w:val="auto"/>
          <w:lang w:val="en-US"/>
        </w:rPr>
        <w:t xml:space="preserve">The intrinsic properties of </w:t>
      </w:r>
      <w:r>
        <w:rPr>
          <w:b/>
          <w:bCs/>
          <w:color w:val="auto"/>
          <w:lang w:val="en-US"/>
        </w:rPr>
        <w:t>lymphatic filaria</w:t>
      </w:r>
      <w:r>
        <w:rPr>
          <w:color w:val="auto"/>
          <w:lang w:val="en-US"/>
        </w:rPr>
        <w:t xml:space="preserve"> i</w:t>
      </w:r>
      <w:r>
        <w:rPr>
          <w:noProof/>
          <w:color w:val="auto"/>
          <w:lang w:val="en-US"/>
        </w:rPr>
        <w:t>nfective</w:t>
      </w:r>
      <w:r>
        <w:rPr>
          <w:color w:val="auto"/>
          <w:lang w:val="en-US"/>
        </w:rPr>
        <w:t xml:space="preserve"> larvae, i.e., the </w:t>
      </w:r>
      <w:r>
        <w:rPr>
          <w:noProof/>
          <w:color w:val="auto"/>
          <w:lang w:val="en-US"/>
        </w:rPr>
        <w:t>preferential</w:t>
      </w:r>
      <w:r>
        <w:rPr>
          <w:color w:val="auto"/>
          <w:lang w:val="en-US"/>
        </w:rPr>
        <w:t xml:space="preserve"> homing to lymph nodes and </w:t>
      </w:r>
      <w:r>
        <w:rPr>
          <w:noProof/>
          <w:color w:val="auto"/>
          <w:lang w:val="en-US"/>
        </w:rPr>
        <w:t>symbiosis with intracellular Wolbachia bacteriae, are</w:t>
      </w:r>
      <w:r>
        <w:rPr>
          <w:color w:val="auto"/>
          <w:lang w:val="en-US"/>
        </w:rPr>
        <w:t xml:space="preserve"> features that could be employed in formulations of alternative vaccines. Orthogonal coupling of protein to the </w:t>
      </w:r>
      <w:r>
        <w:rPr>
          <w:noProof/>
          <w:color w:val="auto"/>
          <w:lang w:val="en-US"/>
        </w:rPr>
        <w:t>cuticle</w:t>
      </w:r>
      <w:r>
        <w:rPr>
          <w:color w:val="auto"/>
          <w:lang w:val="en-US"/>
        </w:rPr>
        <w:t xml:space="preserve"> </w:t>
      </w:r>
      <w:r>
        <w:rPr>
          <w:noProof/>
          <w:color w:val="auto"/>
          <w:lang w:val="en-US"/>
        </w:rPr>
        <w:t>creates a biological carrie</w:t>
      </w:r>
      <w:r>
        <w:rPr>
          <w:color w:val="auto"/>
          <w:lang w:val="en-US"/>
        </w:rPr>
        <w:t>r capable of delivering non-filarial antigens precisely into the core of the immune system. Once there, attenuated worms become a prolonged source of custom antigen that is released bound to the larvae particles. A parallel co-release of intracellular Wolbachia bacteria acts as a na</w:t>
      </w:r>
      <w:r>
        <w:rPr>
          <w:noProof/>
          <w:color w:val="auto"/>
          <w:lang w:val="en-US"/>
        </w:rPr>
        <w:t>tural</w:t>
      </w:r>
      <w:r>
        <w:rPr>
          <w:color w:val="auto"/>
          <w:lang w:val="en-US"/>
        </w:rPr>
        <w:t xml:space="preserve"> type 1 immunostimulatory adjuvant. </w:t>
      </w:r>
    </w:p>
    <w:p>
      <w:pPr>
        <w:spacing w:before="0" w:after="0"/>
        <w:rPr>
          <w:color w:val="auto"/>
          <w:lang w:val="en-US"/>
        </w:rPr>
      </w:pPr>
      <w:r>
        <w:rPr>
          <w:color w:val="auto"/>
          <w:lang w:val="en-US"/>
        </w:rPr>
        <w:br w:type="page"/>
      </w:r>
    </w:p>
    <w:p>
      <w:pPr>
        <w:pStyle w:val="Heading2"/>
        <w:rPr>
          <w:color w:val="auto"/>
        </w:rPr>
      </w:pPr>
      <w:bookmarkStart w:id="9" w:name="_Toc509402000"/>
      <w:bookmarkStart w:id="10" w:name="_Hlk54686005"/>
      <w:bookmarkStart w:id="11" w:name="_Hlk54685807"/>
      <w:r>
        <w:rPr>
          <w:color w:val="auto"/>
        </w:rPr>
        <w:t>Research publications</w:t>
      </w:r>
      <w:bookmarkEnd w:id="9"/>
    </w:p>
    <w:bookmarkEnd w:id="10"/>
    <w:p>
      <w:pPr>
        <w:spacing w:before="0"/>
        <w:jc w:val="center"/>
        <w:rPr>
          <w:rFonts w:cstheme="minorHAnsi"/>
          <w:b/>
          <w:color w:val="auto"/>
          <w:lang w:val="en-US"/>
        </w:rPr>
      </w:pPr>
      <w:r>
        <w:rPr>
          <w:rFonts w:cstheme="minorHAnsi"/>
          <w:color w:val="auto"/>
          <w:lang w:val="en-US"/>
        </w:rPr>
        <w:t>First (</w:t>
      </w:r>
      <w:r>
        <w:rPr>
          <w:rFonts w:cstheme="minorHAnsi"/>
          <w:b/>
          <w:color w:val="auto"/>
          <w:sz w:val="36"/>
          <w:szCs w:val="36"/>
          <w:vertAlign w:val="superscript"/>
          <w:rtl/>
          <w:lang w:val="en-US" w:bidi="he-IL"/>
        </w:rPr>
        <w:t>א</w:t>
      </w:r>
      <w:r>
        <w:rPr>
          <w:rFonts w:cstheme="minorHAnsi"/>
          <w:color w:val="auto"/>
          <w:lang w:val="en-US"/>
        </w:rPr>
        <w:t>) or last (</w:t>
      </w:r>
      <w:r>
        <w:rPr>
          <w:rFonts w:ascii="Cambria" w:hAnsi="Cambria" w:cstheme="minorHAnsi"/>
          <w:b/>
          <w:color w:val="auto"/>
          <w:sz w:val="32"/>
          <w:szCs w:val="32"/>
          <w:vertAlign w:val="superscript"/>
          <w:lang w:val="en-US"/>
        </w:rPr>
        <w:t>Ω</w:t>
      </w:r>
      <w:r>
        <w:rPr>
          <w:rFonts w:cstheme="minorHAnsi"/>
          <w:color w:val="auto"/>
          <w:lang w:val="en-US"/>
        </w:rPr>
        <w:t>) author</w:t>
      </w:r>
      <w:r>
        <w:rPr>
          <w:color w:val="auto"/>
          <w:lang w:val="en-US"/>
        </w:rPr>
        <w:t xml:space="preserve">, corresponding author </w:t>
      </w:r>
      <w:r>
        <w:rPr>
          <w:rFonts w:cstheme="minorHAnsi"/>
          <w:color w:val="auto"/>
          <w:sz w:val="28"/>
          <w:szCs w:val="28"/>
          <w:vertAlign w:val="superscript"/>
          <w:lang w:val="en-US"/>
        </w:rPr>
        <w:sym w:font="Wingdings" w:char="F02A"/>
      </w:r>
      <w:r>
        <w:rPr>
          <w:color w:val="auto"/>
          <w:lang w:val="en-US"/>
        </w:rPr>
        <w:t>, equal contribution</w:t>
      </w:r>
      <w:r>
        <w:rPr>
          <w:color w:val="auto"/>
          <w:sz w:val="28"/>
          <w:vertAlign w:val="superscript"/>
          <w:lang w:val="en-US"/>
        </w:rPr>
        <w:t xml:space="preserve"> </w:t>
      </w:r>
      <w:r>
        <w:rPr>
          <w:color w:val="auto"/>
          <w:sz w:val="28"/>
          <w:vertAlign w:val="superscript"/>
          <w:lang w:val="en-US"/>
        </w:rPr>
        <w:sym w:font="Wingdings" w:char="F061"/>
      </w:r>
    </w:p>
    <w:p>
      <w:pPr>
        <w:pStyle w:val="Heading3"/>
        <w:rPr>
          <w:lang w:val="en-US"/>
        </w:rPr>
      </w:pPr>
      <w:bookmarkStart w:id="12" w:name="_Toc509402001"/>
      <w:r>
        <w:rPr>
          <w:lang w:val="en-US"/>
        </w:rPr>
        <w:t>Five Most Important Research Publications</w:t>
      </w:r>
      <w:bookmarkEnd w:id="12"/>
    </w:p>
    <w:p>
      <w:pPr>
        <w:spacing w:before="60"/>
        <w:ind w:left="288" w:hanging="288"/>
        <w:rPr>
          <w:color w:val="auto"/>
          <w:lang w:val="en-US"/>
        </w:rPr>
      </w:pPr>
      <w:r>
        <w:rPr>
          <w:lang w:val="en-US"/>
        </w:rPr>
        <w:t>V.</w:t>
      </w:r>
      <w:r>
        <w:rPr>
          <w:rFonts w:cs="Calibri"/>
          <w:bCs/>
          <w:sz w:val="32"/>
          <w:szCs w:val="32"/>
          <w:vertAlign w:val="superscript"/>
          <w:rtl/>
          <w:lang w:val="en-US" w:bidi="he-IL"/>
        </w:rPr>
        <w:t xml:space="preserve"> א</w:t>
      </w:r>
      <w:r>
        <w:rPr>
          <w:rFonts w:cs="Calibri"/>
          <w:bCs/>
          <w:sz w:val="32"/>
          <w:szCs w:val="32"/>
          <w:vertAlign w:val="superscript"/>
          <w:lang w:val="en-US" w:bidi="he-IL"/>
        </w:rPr>
        <w:t>,</w:t>
      </w:r>
      <w:r>
        <w:rPr>
          <w:rFonts w:ascii="Cambria" w:hAnsi="Cambria"/>
          <w:b/>
          <w:position w:val="4"/>
          <w:sz w:val="28"/>
          <w:szCs w:val="28"/>
          <w:vertAlign w:val="superscript"/>
          <w:lang w:val="en-US"/>
        </w:rPr>
        <w:t>Ω</w:t>
      </w:r>
      <w:r>
        <w:t xml:space="preserve"> </w:t>
      </w:r>
      <w:hyperlink r:id="rId15" w:history="1">
        <w:r>
          <w:rPr>
            <w:rStyle w:val="Hyperlink"/>
            <w:lang w:val="en-US"/>
          </w:rPr>
          <w:t>Inherent biomechanical traits enable infective filariae to disseminate through collecting lymphatic vessels</w:t>
        </w:r>
      </w:hyperlink>
      <w:r>
        <w:rPr>
          <w:b/>
          <w:i/>
          <w:lang w:val="en-US"/>
        </w:rPr>
        <w:t xml:space="preserve"> </w:t>
      </w:r>
      <w:r>
        <w:rPr>
          <w:color w:val="auto"/>
          <w:u w:val="single"/>
          <w:lang w:val="en-US"/>
        </w:rPr>
        <w:t>Kilarski WW</w:t>
      </w:r>
      <w:r>
        <w:rPr>
          <w:rFonts w:cstheme="minorHAnsi"/>
          <w:color w:val="auto"/>
          <w:sz w:val="28"/>
          <w:szCs w:val="28"/>
          <w:vertAlign w:val="superscript"/>
          <w:lang w:val="en-US"/>
        </w:rPr>
        <w:sym w:font="Wingdings" w:char="F02A"/>
      </w:r>
      <w:r>
        <w:rPr>
          <w:color w:val="auto"/>
          <w:lang w:val="en-US"/>
        </w:rPr>
        <w:t>, Pisano, Bain, Martin, Babayan and Swartz MA</w:t>
      </w:r>
      <w:r>
        <w:rPr>
          <w:rFonts w:cstheme="minorHAnsi"/>
          <w:color w:val="auto"/>
          <w:sz w:val="28"/>
          <w:szCs w:val="28"/>
          <w:vertAlign w:val="superscript"/>
          <w:lang w:val="en-US"/>
        </w:rPr>
        <w:sym w:font="Wingdings" w:char="F02A"/>
      </w:r>
      <w:r>
        <w:rPr>
          <w:color w:val="auto"/>
          <w:lang w:val="en-US"/>
        </w:rPr>
        <w:t xml:space="preserve">. (2019) </w:t>
      </w:r>
      <w:r>
        <w:rPr>
          <w:b/>
          <w:color w:val="auto"/>
          <w:lang w:val="en-US"/>
        </w:rPr>
        <w:t>Nat Commun</w:t>
      </w:r>
    </w:p>
    <w:p>
      <w:pPr>
        <w:ind w:left="360"/>
        <w:rPr>
          <w:color w:val="auto"/>
          <w:lang w:val="en-US"/>
        </w:rPr>
      </w:pPr>
      <w:r>
        <w:rPr>
          <w:color w:val="auto"/>
        </w:rPr>
        <w:t xml:space="preserve">Our intravital imaging provides the first glimpse into the migratory phase of the filaria parasite infection. We found that parasitic nematodes do not need complex parasite-specific mechanisms of dissemination because simple morphological adjustments to the length and diameter should be sufficient for infective larvae to reach specific destinations in the body. Such a simple mechanism can exist because </w:t>
      </w:r>
      <w:r>
        <w:rPr>
          <w:noProof/>
          <w:color w:val="auto"/>
        </w:rPr>
        <w:t>the</w:t>
      </w:r>
      <w:r>
        <w:rPr>
          <w:color w:val="auto"/>
        </w:rPr>
        <w:t xml:space="preserve"> set of skills needed to cross the granular materials, such as mud, sand, or soil, also predispose nematodes for migration in a structurally </w:t>
      </w:r>
      <w:r>
        <w:rPr>
          <w:noProof/>
          <w:color w:val="auto"/>
        </w:rPr>
        <w:t>similar</w:t>
      </w:r>
      <w:r>
        <w:rPr>
          <w:color w:val="auto"/>
        </w:rPr>
        <w:t xml:space="preserve"> collagenous environment of the skin. </w:t>
      </w:r>
    </w:p>
    <w:p>
      <w:pPr>
        <w:spacing w:before="60"/>
        <w:ind w:left="288" w:hanging="288"/>
        <w:rPr>
          <w:color w:val="auto"/>
          <w:spacing w:val="-6"/>
          <w:lang w:val="en-US"/>
        </w:rPr>
      </w:pPr>
      <w:r>
        <w:rPr>
          <w:lang w:val="en-US"/>
        </w:rPr>
        <w:t>IV.</w:t>
      </w:r>
      <w:r>
        <w:rPr>
          <w:rFonts w:ascii="Cambria" w:hAnsi="Cambria"/>
          <w:b/>
          <w:spacing w:val="4"/>
          <w:sz w:val="32"/>
          <w:szCs w:val="28"/>
          <w:vertAlign w:val="superscript"/>
          <w:lang w:val="en-US"/>
        </w:rPr>
        <w:t>Ω</w:t>
      </w:r>
      <w:hyperlink r:id="rId16" w:history="1">
        <w:r>
          <w:rPr>
            <w:rStyle w:val="Hyperlink"/>
            <w:rFonts w:cstheme="minorHAnsi"/>
            <w:spacing w:val="-6"/>
            <w:lang w:val="en-US"/>
          </w:rPr>
          <w:t>Local induction of lymphangiogenesis with engineered fibrin-binding VEGF-C promotes wound healing by increasing immune cell trafficking and matrix remodeling</w:t>
        </w:r>
      </w:hyperlink>
      <w:r>
        <w:rPr>
          <w:noProof/>
          <w:spacing w:val="-6"/>
          <w:lang w:val="en-US"/>
        </w:rPr>
        <w:t>.</w:t>
      </w:r>
      <w:r>
        <w:rPr>
          <w:spacing w:val="-6"/>
          <w:lang w:val="en-US"/>
        </w:rPr>
        <w:t xml:space="preserve"> </w:t>
      </w:r>
      <w:r>
        <w:rPr>
          <w:color w:val="auto"/>
          <w:spacing w:val="-6"/>
          <w:lang w:val="en-US"/>
        </w:rPr>
        <w:t xml:space="preserve">Güç, et al., </w:t>
      </w:r>
      <w:r>
        <w:rPr>
          <w:color w:val="auto"/>
          <w:spacing w:val="-6"/>
          <w:u w:val="single"/>
          <w:lang w:val="en-US"/>
        </w:rPr>
        <w:t>Kilarski WW</w:t>
      </w:r>
      <w:r>
        <w:rPr>
          <w:color w:val="auto"/>
          <w:spacing w:val="-6"/>
          <w:sz w:val="28"/>
          <w:szCs w:val="20"/>
          <w:vertAlign w:val="superscript"/>
          <w:lang w:val="en-US"/>
        </w:rPr>
        <w:sym w:font="Wingdings" w:char="F061"/>
      </w:r>
      <w:r>
        <w:rPr>
          <w:b/>
          <w:color w:val="auto"/>
          <w:spacing w:val="-6"/>
          <w:sz w:val="24"/>
          <w:szCs w:val="24"/>
          <w:vertAlign w:val="superscript"/>
          <w:lang w:val="en-US"/>
        </w:rPr>
        <w:t>,</w:t>
      </w:r>
      <w:r>
        <w:rPr>
          <w:color w:val="auto"/>
          <w:spacing w:val="-6"/>
          <w:sz w:val="28"/>
          <w:szCs w:val="28"/>
          <w:vertAlign w:val="superscript"/>
          <w:lang w:val="en-US"/>
        </w:rPr>
        <w:sym w:font="Wingdings" w:char="F02A"/>
      </w:r>
      <w:r>
        <w:rPr>
          <w:color w:val="auto"/>
          <w:spacing w:val="-6"/>
          <w:lang w:val="en-US"/>
        </w:rPr>
        <w:t xml:space="preserve"> </w:t>
      </w:r>
      <w:r>
        <w:rPr>
          <w:rFonts w:cstheme="minorHAnsi"/>
          <w:color w:val="auto"/>
          <w:spacing w:val="-6"/>
          <w:lang w:val="en-US"/>
        </w:rPr>
        <w:t>&amp;</w:t>
      </w:r>
      <w:r>
        <w:rPr>
          <w:color w:val="auto"/>
          <w:spacing w:val="-6"/>
          <w:lang w:val="en-US"/>
        </w:rPr>
        <w:t xml:space="preserve"> Swartz MA</w:t>
      </w:r>
      <w:r>
        <w:rPr>
          <w:color w:val="auto"/>
          <w:spacing w:val="-6"/>
          <w:sz w:val="28"/>
          <w:szCs w:val="20"/>
          <w:vertAlign w:val="superscript"/>
          <w:lang w:val="en-US"/>
        </w:rPr>
        <w:sym w:font="Wingdings" w:char="F061"/>
      </w:r>
      <w:r>
        <w:rPr>
          <w:b/>
          <w:color w:val="auto"/>
          <w:spacing w:val="-6"/>
          <w:sz w:val="24"/>
          <w:szCs w:val="24"/>
          <w:vertAlign w:val="superscript"/>
          <w:lang w:val="en-US"/>
        </w:rPr>
        <w:t>,</w:t>
      </w:r>
      <w:r>
        <w:rPr>
          <w:color w:val="auto"/>
          <w:spacing w:val="-6"/>
          <w:sz w:val="28"/>
          <w:szCs w:val="28"/>
          <w:vertAlign w:val="superscript"/>
          <w:lang w:val="en-US"/>
        </w:rPr>
        <w:sym w:font="Wingdings" w:char="F02A"/>
      </w:r>
      <w:r>
        <w:rPr>
          <w:color w:val="auto"/>
          <w:spacing w:val="-6"/>
          <w:lang w:val="en-US"/>
        </w:rPr>
        <w:t xml:space="preserve">. (2017) </w:t>
      </w:r>
      <w:r>
        <w:rPr>
          <w:b/>
          <w:color w:val="auto"/>
          <w:spacing w:val="-6"/>
          <w:lang w:val="en-US"/>
        </w:rPr>
        <w:t>Biomaterials</w:t>
      </w:r>
    </w:p>
    <w:p>
      <w:pPr>
        <w:pStyle w:val="Intent"/>
        <w:rPr>
          <w:color w:val="auto"/>
        </w:rPr>
      </w:pPr>
      <w:r>
        <w:rPr>
          <w:color w:val="auto"/>
        </w:rPr>
        <w:t>In this publication, we challenged the simplistic view of the pro-lymphangiogenic effect of VEGF-C, usually tested at the abnormally high doses at which it stimulates angiogenesis and dysfunctional hyperplasia of lymphatic collectors. Instead, we designed a targeted strategy for drug delivery but also developed a set of methods to test the physiologically relevant parameters of lymphatics. We showed that a specific, pro-lymphangiogenic therapy promoted wound healing without collateral activation of the blood vessel.</w:t>
      </w:r>
    </w:p>
    <w:p>
      <w:pPr>
        <w:spacing w:before="60"/>
        <w:ind w:left="288" w:hanging="288"/>
        <w:rPr>
          <w:color w:val="auto"/>
          <w:lang w:val="en-US"/>
        </w:rPr>
      </w:pPr>
      <w:r>
        <w:rPr>
          <w:lang w:val="en-US"/>
        </w:rPr>
        <w:t>III.</w:t>
      </w:r>
      <w:r>
        <w:rPr>
          <w:rFonts w:cs="Calibri"/>
          <w:b/>
          <w:bCs/>
          <w:sz w:val="32"/>
          <w:szCs w:val="32"/>
          <w:vertAlign w:val="superscript"/>
          <w:rtl/>
          <w:lang w:val="en-US" w:bidi="he-IL"/>
        </w:rPr>
        <w:t>א</w:t>
      </w:r>
      <w:hyperlink r:id="rId17" w:history="1">
        <w:r>
          <w:rPr>
            <w:rStyle w:val="Hyperlink"/>
            <w:rFonts w:cs="Gentium Plus"/>
            <w:lang w:val="en-US"/>
          </w:rPr>
          <w:t>Optimization and regeneration kinetics of lymphatic-specific photodynamic therapy in the dermis.</w:t>
        </w:r>
      </w:hyperlink>
      <w:r>
        <w:rPr>
          <w:rStyle w:val="NormalTimesChar"/>
        </w:rPr>
        <w:t xml:space="preserve"> </w:t>
      </w:r>
      <w:r>
        <w:rPr>
          <w:color w:val="auto"/>
          <w:u w:val="single"/>
          <w:lang w:val="en-US"/>
        </w:rPr>
        <w:t>Kilarski WW</w:t>
      </w:r>
      <w:r>
        <w:rPr>
          <w:rFonts w:cstheme="minorHAnsi"/>
          <w:color w:val="auto"/>
          <w:sz w:val="28"/>
          <w:szCs w:val="28"/>
          <w:vertAlign w:val="superscript"/>
          <w:lang w:val="en-US"/>
        </w:rPr>
        <w:sym w:font="Wingdings" w:char="F02A"/>
      </w:r>
      <w:r>
        <w:rPr>
          <w:color w:val="auto"/>
          <w:sz w:val="24"/>
          <w:szCs w:val="24"/>
          <w:vertAlign w:val="superscript"/>
          <w:lang w:val="en-US"/>
        </w:rPr>
        <w:t xml:space="preserve"> </w:t>
      </w:r>
      <w:r>
        <w:rPr>
          <w:color w:val="auto"/>
          <w:lang w:val="en-US"/>
        </w:rPr>
        <w:t xml:space="preserve">et al. (2014) </w:t>
      </w:r>
      <w:r>
        <w:rPr>
          <w:b/>
          <w:color w:val="auto"/>
          <w:lang w:val="en-US"/>
        </w:rPr>
        <w:t>Angiogenesis</w:t>
      </w:r>
    </w:p>
    <w:p>
      <w:pPr>
        <w:pStyle w:val="Intent"/>
        <w:rPr>
          <w:rFonts w:cstheme="minorHAnsi"/>
          <w:color w:val="auto"/>
        </w:rPr>
      </w:pPr>
      <w:r>
        <w:rPr>
          <w:rFonts w:cstheme="minorHAnsi"/>
          <w:noProof/>
          <w:color w:val="auto"/>
        </w:rPr>
        <w:t>This</w:t>
      </w:r>
      <w:r>
        <w:rPr>
          <w:rFonts w:cstheme="minorHAnsi"/>
          <w:color w:val="auto"/>
        </w:rPr>
        <w:t xml:space="preserve"> is the </w:t>
      </w:r>
      <w:r>
        <w:rPr>
          <w:color w:val="auto"/>
        </w:rPr>
        <w:t>first publication detailing the methodology for specific targeting and occlusion of lymphatic collecting vessels. Here, I also planned and performed most of the experiments and wrote the majority of the publication</w:t>
      </w:r>
      <w:r>
        <w:rPr>
          <w:noProof/>
          <w:color w:val="auto"/>
        </w:rPr>
        <w:t>. A</w:t>
      </w:r>
      <w:r>
        <w:rPr>
          <w:color w:val="auto"/>
        </w:rPr>
        <w:t xml:space="preserve"> continuation of this project provided material for two research publications, including one describing the mechanism and application of anti-hemostatic properties of lymphatic vessels (final manuscript).</w:t>
      </w:r>
    </w:p>
    <w:p>
      <w:pPr>
        <w:spacing w:before="60"/>
        <w:ind w:left="288" w:hanging="288"/>
        <w:rPr>
          <w:rStyle w:val="gi"/>
          <w:color w:val="auto"/>
          <w:lang w:val="en-US"/>
        </w:rPr>
      </w:pPr>
      <w:r>
        <w:rPr>
          <w:rStyle w:val="gi"/>
          <w:rFonts w:cs="Gentium Plus"/>
          <w:lang w:val="en-US"/>
        </w:rPr>
        <w:t xml:space="preserve">II. </w:t>
      </w:r>
      <w:hyperlink r:id="rId18" w:history="1">
        <w:r>
          <w:rPr>
            <w:rStyle w:val="Hyperlink"/>
            <w:lang w:val="en-US"/>
          </w:rPr>
          <w:t>Growth factors engineered for super-affinity to the extracellular matrix enhance tissue healing</w:t>
        </w:r>
      </w:hyperlink>
      <w:r>
        <w:rPr>
          <w:rStyle w:val="Hyperlink"/>
          <w:lang w:val="en-US"/>
        </w:rPr>
        <w:t xml:space="preserve">. </w:t>
      </w:r>
      <w:r>
        <w:rPr>
          <w:rStyle w:val="gi"/>
          <w:rFonts w:cs="Gentium Plus"/>
          <w:noProof/>
          <w:color w:val="auto"/>
          <w:lang w:val="en-US"/>
        </w:rPr>
        <w:t>Martino</w:t>
      </w:r>
      <w:r>
        <w:rPr>
          <w:rStyle w:val="gi"/>
          <w:rFonts w:cs="Gentium Plus"/>
          <w:color w:val="auto"/>
          <w:lang w:val="en-US"/>
        </w:rPr>
        <w:t xml:space="preserve"> et al. (2014) </w:t>
      </w:r>
      <w:r>
        <w:rPr>
          <w:rStyle w:val="gi"/>
          <w:rFonts w:cs="Gentium Plus"/>
          <w:b/>
          <w:color w:val="auto"/>
          <w:lang w:val="en-US"/>
        </w:rPr>
        <w:t>Science</w:t>
      </w:r>
    </w:p>
    <w:p>
      <w:pPr>
        <w:spacing w:before="60"/>
        <w:ind w:left="270"/>
        <w:rPr>
          <w:color w:val="auto"/>
        </w:rPr>
      </w:pPr>
      <w:r>
        <w:rPr>
          <w:color w:val="auto"/>
        </w:rPr>
        <w:t>A method of in vivo immunofluorescence that allows long-term imaging of physiological processes at the cellular level in the context of defined components of the extracellular matrix. This technique was initially described in PLOS ONE and JOVE; we used it in other projects published in Nature Cell Biol, Biomaterials, and Nat Commun. In this paper, I designed variants of this method for the quantitative imaging of vascular leakage and ex vivo staining of the unfixed skin. Here, we showed that the engineered, matrix-bound form of VEGF-A is pro-angiogenic with little toxicity as compared to its free form; This is because it binds initially to the extracellular matrix from which it is gradually released.</w:t>
      </w:r>
    </w:p>
    <w:p>
      <w:pPr>
        <w:spacing w:before="60"/>
        <w:rPr>
          <w:color w:val="auto"/>
          <w:lang w:val="en-US"/>
        </w:rPr>
      </w:pPr>
      <w:r>
        <w:rPr>
          <w:lang w:val="en-US"/>
        </w:rPr>
        <w:t>I.</w:t>
      </w:r>
      <w:r>
        <w:rPr>
          <w:rFonts w:cs="Calibri"/>
          <w:b/>
          <w:bCs/>
          <w:sz w:val="32"/>
          <w:szCs w:val="32"/>
          <w:vertAlign w:val="superscript"/>
          <w:rtl/>
          <w:lang w:val="en-US" w:bidi="he-IL"/>
        </w:rPr>
        <w:t>א</w:t>
      </w:r>
      <w:hyperlink r:id="rId19" w:history="1">
        <w:r>
          <w:rPr>
            <w:rStyle w:val="Hyperlink"/>
            <w:rFonts w:cs="Gentium Plus"/>
            <w:lang w:val="en-US"/>
          </w:rPr>
          <w:t>Biomechanical regulation of blood vessel growth during tissue vascularization</w:t>
        </w:r>
      </w:hyperlink>
      <w:r>
        <w:rPr>
          <w:rStyle w:val="Hyperlink"/>
          <w:rFonts w:cs="Gentium Plus"/>
          <w:lang w:val="en-US"/>
        </w:rPr>
        <w:t>.</w:t>
      </w:r>
      <w:r>
        <w:rPr>
          <w:lang w:val="en-US"/>
        </w:rPr>
        <w:t xml:space="preserve"> </w:t>
      </w:r>
      <w:r>
        <w:rPr>
          <w:color w:val="auto"/>
          <w:u w:val="single"/>
          <w:lang w:val="en-US"/>
        </w:rPr>
        <w:t>Kilarski WW</w:t>
      </w:r>
      <w:r>
        <w:rPr>
          <w:rFonts w:cstheme="minorHAnsi"/>
          <w:color w:val="auto"/>
          <w:sz w:val="28"/>
          <w:szCs w:val="28"/>
          <w:vertAlign w:val="superscript"/>
          <w:lang w:val="en-US"/>
        </w:rPr>
        <w:sym w:font="Wingdings" w:char="F02A"/>
      </w:r>
      <w:r>
        <w:rPr>
          <w:color w:val="auto"/>
          <w:lang w:val="en-US"/>
        </w:rPr>
        <w:t xml:space="preserve"> et </w:t>
      </w:r>
      <w:r>
        <w:rPr>
          <w:noProof/>
          <w:color w:val="auto"/>
          <w:lang w:val="en-US"/>
        </w:rPr>
        <w:t>al.</w:t>
      </w:r>
      <w:r>
        <w:rPr>
          <w:color w:val="auto"/>
          <w:lang w:val="en-US"/>
        </w:rPr>
        <w:t xml:space="preserve"> (2009) </w:t>
      </w:r>
      <w:r>
        <w:rPr>
          <w:b/>
          <w:color w:val="auto"/>
          <w:lang w:val="en-US"/>
        </w:rPr>
        <w:t>Nat Med</w:t>
      </w:r>
      <w:r>
        <w:rPr>
          <w:color w:val="auto"/>
          <w:lang w:val="en-US"/>
        </w:rPr>
        <w:t xml:space="preserve">. </w:t>
      </w:r>
    </w:p>
    <w:p>
      <w:pPr>
        <w:pStyle w:val="Intent"/>
        <w:rPr>
          <w:color w:val="auto"/>
        </w:rPr>
      </w:pPr>
      <w:r>
        <w:rPr>
          <w:color w:val="auto"/>
        </w:rPr>
        <w:t xml:space="preserve">Here </w:t>
      </w:r>
      <w:r>
        <w:rPr>
          <w:noProof/>
          <w:color w:val="auto"/>
        </w:rPr>
        <w:t>I</w:t>
      </w:r>
      <w:r>
        <w:rPr>
          <w:color w:val="auto"/>
        </w:rPr>
        <w:t xml:space="preserve"> proposed a new mechanism of post-developmental (</w:t>
      </w:r>
      <w:r>
        <w:rPr>
          <w:noProof/>
          <w:color w:val="auto"/>
        </w:rPr>
        <w:t>e.g.,</w:t>
      </w:r>
      <w:r>
        <w:rPr>
          <w:color w:val="auto"/>
        </w:rPr>
        <w:t xml:space="preserve"> wound healing) blood vessel growth. </w:t>
      </w:r>
      <w:r>
        <w:rPr>
          <w:noProof/>
          <w:color w:val="auto"/>
        </w:rPr>
        <w:t>Except for</w:t>
      </w:r>
      <w:r>
        <w:rPr>
          <w:color w:val="auto"/>
        </w:rPr>
        <w:t xml:space="preserve"> </w:t>
      </w:r>
      <w:r>
        <w:rPr>
          <w:noProof/>
          <w:color w:val="auto"/>
        </w:rPr>
        <w:t>cornea</w:t>
      </w:r>
      <w:r>
        <w:rPr>
          <w:color w:val="auto"/>
        </w:rPr>
        <w:t xml:space="preserve"> surgery, </w:t>
      </w:r>
      <w:r>
        <w:rPr>
          <w:noProof/>
          <w:color w:val="auto"/>
        </w:rPr>
        <w:t>I</w:t>
      </w:r>
      <w:r>
        <w:rPr>
          <w:color w:val="auto"/>
        </w:rPr>
        <w:t xml:space="preserve"> planned and performed all of the experiments and wrote most of the manuscript and </w:t>
      </w:r>
      <w:r>
        <w:rPr>
          <w:noProof/>
          <w:color w:val="auto"/>
        </w:rPr>
        <w:t>rebuttals.</w:t>
      </w:r>
      <w:r>
        <w:rPr>
          <w:color w:val="auto"/>
        </w:rPr>
        <w:t xml:space="preserve"> </w:t>
      </w:r>
    </w:p>
    <w:bookmarkEnd w:id="11"/>
    <w:p>
      <w:pPr>
        <w:spacing w:before="0" w:after="0"/>
        <w:rPr>
          <w:lang w:val="en-US"/>
        </w:rPr>
      </w:pPr>
      <w:r>
        <w:rPr>
          <w:lang w:val="en-US"/>
        </w:rPr>
        <w:br w:type="page"/>
      </w:r>
    </w:p>
    <w:p>
      <w:pPr>
        <w:pStyle w:val="Heading3"/>
        <w:rPr>
          <w:lang w:val="en-US"/>
        </w:rPr>
      </w:pPr>
      <w:bookmarkStart w:id="13" w:name="_Toc509402003"/>
      <w:r>
        <w:rPr>
          <w:lang w:val="en-US"/>
        </w:rPr>
        <w:t xml:space="preserve">Reviewed </w:t>
      </w:r>
      <w:bookmarkStart w:id="14" w:name="OLE_LINK9"/>
      <w:bookmarkStart w:id="15" w:name="OLE_LINK10"/>
      <w:r>
        <w:rPr>
          <w:lang w:val="en-US"/>
        </w:rPr>
        <w:t xml:space="preserve">Research </w:t>
      </w:r>
      <w:bookmarkEnd w:id="1"/>
      <w:bookmarkEnd w:id="13"/>
      <w:r>
        <w:rPr>
          <w:lang w:val="en-US"/>
        </w:rPr>
        <w:t>Publications</w:t>
      </w:r>
      <w:bookmarkEnd w:id="14"/>
      <w:bookmarkEnd w:id="15"/>
      <w:r>
        <w:rPr>
          <w:lang w:val="en-US"/>
        </w:rPr>
        <w:t xml:space="preserve"> </w:t>
      </w:r>
    </w:p>
    <w:p>
      <w:pPr>
        <w:spacing w:after="120"/>
        <w:jc w:val="center"/>
        <w:rPr>
          <w:b/>
          <w:sz w:val="20"/>
          <w:szCs w:val="20"/>
          <w:lang w:val="en-US"/>
        </w:rPr>
      </w:pPr>
      <w:bookmarkStart w:id="16" w:name="_Toc509402004"/>
      <w:bookmarkStart w:id="17" w:name="_Toc369009511"/>
      <w:r>
        <w:rPr>
          <w:sz w:val="20"/>
          <w:szCs w:val="20"/>
          <w:u w:val="single"/>
          <w:lang w:val="en-US"/>
        </w:rPr>
        <w:t>First author</w:t>
      </w:r>
      <w:r>
        <w:rPr>
          <w:sz w:val="20"/>
          <w:szCs w:val="20"/>
          <w:lang w:val="en-US"/>
        </w:rPr>
        <w:t xml:space="preserve"> (</w:t>
      </w:r>
      <w:r>
        <w:rPr>
          <w:bCs/>
          <w:sz w:val="32"/>
          <w:szCs w:val="32"/>
          <w:vertAlign w:val="superscript"/>
          <w:rtl/>
          <w:lang w:val="en-US" w:bidi="he-IL"/>
        </w:rPr>
        <w:t>א</w:t>
      </w:r>
      <w:r>
        <w:rPr>
          <w:sz w:val="20"/>
          <w:szCs w:val="20"/>
          <w:lang w:val="en-US"/>
        </w:rPr>
        <w:t>)–</w:t>
      </w:r>
      <w:r>
        <w:rPr>
          <w:b/>
          <w:sz w:val="20"/>
          <w:szCs w:val="20"/>
          <w:lang w:val="en-US"/>
        </w:rPr>
        <w:t>17</w:t>
      </w:r>
      <w:r>
        <w:rPr>
          <w:sz w:val="20"/>
          <w:szCs w:val="20"/>
          <w:lang w:val="en-US"/>
        </w:rPr>
        <w:t xml:space="preserve">; </w:t>
      </w:r>
      <w:r>
        <w:rPr>
          <w:sz w:val="20"/>
          <w:szCs w:val="20"/>
          <w:u w:val="single"/>
          <w:lang w:val="en-US"/>
        </w:rPr>
        <w:t>Last auth</w:t>
      </w:r>
      <w:r>
        <w:rPr>
          <w:sz w:val="20"/>
          <w:szCs w:val="20"/>
          <w:lang w:val="en-US"/>
        </w:rPr>
        <w:t>or (</w:t>
      </w:r>
      <w:r>
        <w:rPr>
          <w:rFonts w:ascii="Cambria" w:hAnsi="Cambria"/>
          <w:b/>
          <w:sz w:val="28"/>
          <w:szCs w:val="28"/>
          <w:vertAlign w:val="superscript"/>
          <w:lang w:val="en-US"/>
        </w:rPr>
        <w:t>Ω</w:t>
      </w:r>
      <w:r>
        <w:rPr>
          <w:sz w:val="20"/>
          <w:szCs w:val="20"/>
          <w:lang w:val="en-US"/>
        </w:rPr>
        <w:t>)–</w:t>
      </w:r>
      <w:r>
        <w:rPr>
          <w:b/>
          <w:sz w:val="20"/>
          <w:szCs w:val="20"/>
          <w:lang w:val="en-US"/>
        </w:rPr>
        <w:t>6;</w:t>
      </w:r>
      <w:r>
        <w:rPr>
          <w:sz w:val="20"/>
          <w:szCs w:val="20"/>
          <w:lang w:val="en-US"/>
        </w:rPr>
        <w:t xml:space="preserve"> </w:t>
      </w:r>
      <w:r>
        <w:rPr>
          <w:sz w:val="20"/>
          <w:szCs w:val="20"/>
          <w:u w:val="single"/>
          <w:lang w:val="en-US"/>
        </w:rPr>
        <w:t>Corresponding author</w:t>
      </w:r>
      <w:r>
        <w:rPr>
          <w:sz w:val="20"/>
          <w:szCs w:val="20"/>
          <w:lang w:val="en-US"/>
        </w:rPr>
        <w:t xml:space="preserve"> (</w:t>
      </w:r>
      <w:r>
        <w:rPr>
          <w:sz w:val="28"/>
          <w:szCs w:val="28"/>
          <w:vertAlign w:val="superscript"/>
          <w:lang w:val="en-US"/>
        </w:rPr>
        <w:sym w:font="Wingdings" w:char="F02A"/>
      </w:r>
      <w:r>
        <w:rPr>
          <w:sz w:val="20"/>
          <w:szCs w:val="20"/>
          <w:lang w:val="en-US"/>
        </w:rPr>
        <w:t>)-</w:t>
      </w:r>
      <w:r>
        <w:rPr>
          <w:b/>
          <w:sz w:val="20"/>
          <w:szCs w:val="20"/>
          <w:lang w:val="en-US"/>
        </w:rPr>
        <w:t>15</w:t>
      </w:r>
      <w:r>
        <w:rPr>
          <w:sz w:val="20"/>
          <w:szCs w:val="20"/>
          <w:lang w:val="en-US"/>
        </w:rPr>
        <w:t>; Equal contribution (</w:t>
      </w:r>
      <w:r>
        <w:rPr>
          <w:sz w:val="28"/>
          <w:szCs w:val="28"/>
          <w:vertAlign w:val="superscript"/>
          <w:lang w:val="en-US"/>
        </w:rPr>
        <w:sym w:font="Wingdings" w:char="F061"/>
      </w:r>
      <w:r>
        <w:rPr>
          <w:sz w:val="20"/>
          <w:szCs w:val="20"/>
          <w:lang w:val="en-US"/>
        </w:rPr>
        <w:t>)-</w:t>
      </w:r>
      <w:r>
        <w:rPr>
          <w:b/>
          <w:sz w:val="20"/>
          <w:szCs w:val="20"/>
          <w:lang w:val="en-US"/>
        </w:rPr>
        <w:t>3</w:t>
      </w:r>
      <w:r>
        <w:rPr>
          <w:sz w:val="20"/>
          <w:szCs w:val="20"/>
          <w:lang w:val="en-US"/>
        </w:rPr>
        <w:t xml:space="preserve">; Key publications are </w:t>
      </w:r>
      <w:r>
        <w:rPr>
          <w:b/>
          <w:sz w:val="20"/>
          <w:szCs w:val="20"/>
          <w:lang w:val="en-US"/>
        </w:rPr>
        <w:t>bolded</w:t>
      </w:r>
    </w:p>
    <w:p>
      <w:pPr>
        <w:ind w:left="450" w:hanging="450"/>
      </w:pPr>
      <w:r>
        <w:rPr>
          <w:rFonts w:cstheme="minorHAnsi"/>
          <w:lang w:val="en-US"/>
        </w:rPr>
        <w:t xml:space="preserve">43. </w:t>
      </w:r>
      <w:hyperlink r:id="rId20" w:history="1">
        <w:r>
          <w:rPr>
            <w:rStyle w:val="Hyperlink"/>
            <w:rFonts w:cstheme="minorHAnsi"/>
            <w:lang w:val="en-US"/>
          </w:rPr>
          <w:t>Lymphatic coagulation and neutrophil extracellular traps in lung-draining lymph nodes of COVID-19 decedents.</w:t>
        </w:r>
      </w:hyperlink>
      <w:r>
        <w:rPr>
          <w:rFonts w:cstheme="minorHAnsi"/>
          <w:lang w:val="en-US"/>
        </w:rPr>
        <w:t xml:space="preserve"> </w:t>
      </w:r>
      <w:r>
        <w:t>Margo</w:t>
      </w:r>
      <w:r>
        <w:rPr>
          <w:lang w:val="en-US"/>
        </w:rPr>
        <w:t xml:space="preserve"> MacDonald et al., Wit</w:t>
      </w:r>
      <w:r>
        <w:t xml:space="preserve">old W Kilarski, and Melody A Swartz (2022). </w:t>
      </w:r>
      <w:r>
        <w:rPr>
          <w:b/>
        </w:rPr>
        <w:t>Blood Adv</w:t>
      </w:r>
    </w:p>
    <w:p>
      <w:pPr>
        <w:spacing w:after="120"/>
        <w:ind w:left="450" w:hanging="450"/>
        <w:rPr>
          <w:rFonts w:cstheme="minorHAnsi"/>
          <w:lang w:val="en-US"/>
        </w:rPr>
      </w:pPr>
      <w:r>
        <w:rPr>
          <w:rFonts w:cstheme="minorHAnsi"/>
          <w:lang w:val="en-US"/>
        </w:rPr>
        <w:t xml:space="preserve">42. </w:t>
      </w:r>
      <w:hyperlink r:id="rId21" w:history="1">
        <w:r>
          <w:rPr>
            <w:rStyle w:val="Hyperlink"/>
            <w:b/>
            <w:bCs/>
            <w:u w:val="none"/>
          </w:rPr>
          <w:t>Lymphatics regulation of the inflammatory clotting creates the natural on-off switch for the immune ignorance that allows subcutaneous allografting</w:t>
        </w:r>
      </w:hyperlink>
      <w:r>
        <w:rPr>
          <w:rFonts w:cstheme="minorHAnsi"/>
          <w:b/>
          <w:bCs/>
          <w:color w:val="000000"/>
          <w:lang w:val="en-US"/>
        </w:rPr>
        <w:t xml:space="preserve">. </w:t>
      </w:r>
      <w:r>
        <w:rPr>
          <w:rFonts w:cstheme="minorHAnsi"/>
          <w:color w:val="000000"/>
          <w:lang w:val="en-US"/>
        </w:rPr>
        <w:t>Malgorzata Wachowska &amp; Witold W Kilarski</w:t>
      </w:r>
      <w:r>
        <w:rPr>
          <w:bCs/>
          <w:sz w:val="32"/>
          <w:szCs w:val="32"/>
          <w:vertAlign w:val="superscript"/>
          <w:rtl/>
          <w:lang w:val="en-US" w:bidi="he-IL"/>
        </w:rPr>
        <w:t>א</w:t>
      </w:r>
      <w:r>
        <w:rPr>
          <w:rFonts w:cstheme="minorHAnsi"/>
          <w:vertAlign w:val="superscript"/>
          <w:lang w:val="en-US"/>
        </w:rPr>
        <w:t xml:space="preserve"> </w:t>
      </w:r>
      <w:r>
        <w:rPr>
          <w:rFonts w:cstheme="minorHAnsi"/>
          <w:vertAlign w:val="superscript"/>
          <w:lang w:val="en-US"/>
        </w:rPr>
        <w:sym w:font="Wingdings" w:char="F02A"/>
      </w:r>
      <w:r>
        <w:rPr>
          <w:rFonts w:cstheme="minorHAnsi"/>
          <w:color w:val="000000"/>
          <w:lang w:val="en-US"/>
        </w:rPr>
        <w:t xml:space="preserve"> (2021) </w:t>
      </w:r>
      <w:r>
        <w:rPr>
          <w:rFonts w:cstheme="minorHAnsi"/>
          <w:b/>
          <w:bCs/>
          <w:color w:val="777777"/>
          <w:shd w:val="clear" w:color="auto" w:fill="FFFFFF"/>
          <w:lang w:val="en-US"/>
        </w:rPr>
        <w:t>bioRxiv</w:t>
      </w:r>
    </w:p>
    <w:p>
      <w:pPr>
        <w:spacing w:after="120"/>
        <w:ind w:left="450" w:hanging="450"/>
        <w:rPr>
          <w:rFonts w:cstheme="minorHAnsi"/>
          <w:i/>
          <w:lang w:val="en-US"/>
        </w:rPr>
      </w:pPr>
      <w:r>
        <w:rPr>
          <w:rFonts w:cstheme="minorHAnsi"/>
          <w:lang w:val="en-US"/>
        </w:rPr>
        <w:t xml:space="preserve">41. </w:t>
      </w:r>
      <w:hyperlink r:id="rId22" w:history="1">
        <w:r>
          <w:rPr>
            <w:rStyle w:val="Hyperlink"/>
            <w:rFonts w:cstheme="minorHAnsi"/>
            <w:lang w:val="en-US"/>
          </w:rPr>
          <w:t>Lymphatic endothelial cells educate naive CD8+ T cells under steady-state conditions to promote a memory-like phenotype.</w:t>
        </w:r>
      </w:hyperlink>
      <w:r>
        <w:rPr>
          <w:rFonts w:cstheme="minorHAnsi"/>
          <w:lang w:val="en-US"/>
        </w:rPr>
        <w:t xml:space="preserve"> Vokali, Yu , Hirosue , Rincon-Restrepo, Duraes, Scherer, Corthésy-Henrioud , </w:t>
      </w:r>
      <w:r>
        <w:rPr>
          <w:rFonts w:cstheme="minorHAnsi"/>
          <w:u w:val="single"/>
          <w:lang w:val="en-US"/>
        </w:rPr>
        <w:t>WW Kilarski</w:t>
      </w:r>
      <w:r>
        <w:rPr>
          <w:rFonts w:cstheme="minorHAnsi"/>
          <w:lang w:val="en-US"/>
        </w:rPr>
        <w:t xml:space="preserve"> , Mondino, Zehn , Hugues and MA Swartz. (2020) </w:t>
      </w:r>
      <w:r>
        <w:rPr>
          <w:rFonts w:cstheme="minorHAnsi"/>
          <w:b/>
          <w:lang w:val="en-US"/>
        </w:rPr>
        <w:t xml:space="preserve">Nat Commun, </w:t>
      </w:r>
      <w:r>
        <w:rPr>
          <w:rFonts w:cstheme="minorHAnsi"/>
          <w:color w:val="222222"/>
          <w:shd w:val="clear" w:color="auto" w:fill="FFFFFF"/>
          <w:lang w:val="en-US"/>
        </w:rPr>
        <w:t>5-year</w:t>
      </w:r>
      <w:r>
        <w:rPr>
          <w:rFonts w:cstheme="minorHAnsi"/>
          <w:b/>
          <w:lang w:val="en-US"/>
        </w:rPr>
        <w:t xml:space="preserve"> IF - </w:t>
      </w:r>
      <w:r>
        <w:rPr>
          <w:rFonts w:cstheme="minorHAnsi"/>
          <w:b/>
          <w:bCs/>
          <w:color w:val="4D5156"/>
          <w:shd w:val="clear" w:color="auto" w:fill="FFFFFF"/>
          <w:lang w:val="en-US"/>
        </w:rPr>
        <w:t>13.610</w:t>
      </w:r>
    </w:p>
    <w:p>
      <w:pPr>
        <w:spacing w:after="120"/>
        <w:ind w:left="450" w:hanging="450"/>
        <w:rPr>
          <w:rFonts w:cstheme="minorHAnsi"/>
          <w:color w:val="777777"/>
          <w:shd w:val="clear" w:color="auto" w:fill="FFFFFF"/>
          <w:lang w:val="en-US"/>
        </w:rPr>
      </w:pPr>
      <w:r>
        <w:rPr>
          <w:rFonts w:cstheme="minorHAnsi"/>
          <w:lang w:val="en-US"/>
        </w:rPr>
        <w:t>40</w:t>
      </w:r>
      <w:r>
        <w:rPr>
          <w:rFonts w:cstheme="minorHAnsi"/>
          <w:i/>
          <w:lang w:val="en-US"/>
        </w:rPr>
        <w:t>.</w:t>
      </w:r>
      <w:r>
        <w:rPr>
          <w:rFonts w:cstheme="minorHAnsi"/>
          <w:b/>
          <w:position w:val="4"/>
          <w:vertAlign w:val="superscript"/>
          <w:lang w:val="en-US"/>
        </w:rPr>
        <w:t>Ω,</w:t>
      </w:r>
      <w:r>
        <w:rPr>
          <w:rFonts w:cstheme="minorHAnsi"/>
          <w:vertAlign w:val="superscript"/>
          <w:lang w:val="en-US"/>
        </w:rPr>
        <w:sym w:font="Wingdings" w:char="F02A"/>
      </w:r>
      <w:hyperlink r:id="rId23" w:history="1">
        <w:r>
          <w:rPr>
            <w:rStyle w:val="Hyperlink"/>
            <w:rFonts w:cstheme="minorHAnsi"/>
            <w:b/>
            <w:lang w:val="en-US"/>
          </w:rPr>
          <w:t>Adjuvant-free immunization with infective filarial larvae as lymphatic homing antigen carriers</w:t>
        </w:r>
      </w:hyperlink>
      <w:r>
        <w:rPr>
          <w:rFonts w:cstheme="minorHAnsi"/>
          <w:b/>
          <w:i/>
          <w:lang w:val="en-US"/>
        </w:rPr>
        <w:t>.</w:t>
      </w:r>
      <w:r>
        <w:rPr>
          <w:rFonts w:cstheme="minorHAnsi"/>
          <w:lang w:val="en-US"/>
        </w:rPr>
        <w:t xml:space="preserve"> Card, Wilson, Hirosue, Rincon,de Titta, Güç, Martin, Bain, Swartz MA</w:t>
      </w:r>
      <w:r>
        <w:rPr>
          <w:rFonts w:cstheme="minorHAnsi"/>
          <w:u w:val="single"/>
          <w:lang w:val="en-US"/>
        </w:rPr>
        <w:t xml:space="preserve"> </w:t>
      </w:r>
      <w:r>
        <w:rPr>
          <w:rFonts w:cstheme="minorHAnsi"/>
          <w:lang w:val="en-US"/>
        </w:rPr>
        <w:t xml:space="preserve">&amp; </w:t>
      </w:r>
      <w:r>
        <w:rPr>
          <w:rFonts w:cstheme="minorHAnsi"/>
          <w:u w:val="single"/>
          <w:lang w:val="en-US"/>
        </w:rPr>
        <w:t>Kilarski WW</w:t>
      </w:r>
      <w:r>
        <w:rPr>
          <w:rFonts w:cstheme="minorHAnsi"/>
          <w:lang w:val="en-US"/>
        </w:rPr>
        <w:t xml:space="preserve"> (2020) </w:t>
      </w:r>
      <w:r>
        <w:rPr>
          <w:rFonts w:cstheme="minorHAnsi"/>
          <w:b/>
          <w:lang w:val="en-US"/>
        </w:rPr>
        <w:t xml:space="preserve">Sci Rep, </w:t>
      </w:r>
      <w:r>
        <w:rPr>
          <w:rFonts w:cstheme="minorHAnsi"/>
          <w:color w:val="222222"/>
          <w:shd w:val="clear" w:color="auto" w:fill="FFFFFF"/>
          <w:lang w:val="en-US"/>
        </w:rPr>
        <w:t>5-year</w:t>
      </w:r>
      <w:r>
        <w:rPr>
          <w:rFonts w:cstheme="minorHAnsi"/>
          <w:b/>
          <w:lang w:val="en-US"/>
        </w:rPr>
        <w:t xml:space="preserve"> IF - </w:t>
      </w:r>
      <w:r>
        <w:rPr>
          <w:rFonts w:cstheme="minorHAnsi"/>
          <w:b/>
          <w:bCs/>
          <w:color w:val="4D5156"/>
          <w:shd w:val="clear" w:color="auto" w:fill="FFFFFF"/>
          <w:lang w:val="en-US"/>
        </w:rPr>
        <w:t>4.576</w:t>
      </w:r>
      <w:r>
        <w:rPr>
          <w:rFonts w:cstheme="minorHAnsi"/>
          <w:color w:val="4D5156"/>
          <w:shd w:val="clear" w:color="auto" w:fill="FFFFFF"/>
          <w:lang w:val="en-US"/>
        </w:rPr>
        <w:t> </w:t>
      </w:r>
    </w:p>
    <w:p>
      <w:pPr>
        <w:spacing w:after="120"/>
        <w:ind w:left="450" w:hanging="450"/>
        <w:rPr>
          <w:rFonts w:cstheme="minorHAnsi"/>
          <w:lang w:val="en-US"/>
        </w:rPr>
      </w:pPr>
      <w:r>
        <w:rPr>
          <w:rFonts w:cstheme="minorHAnsi"/>
          <w:color w:val="595959" w:themeColor="text1" w:themeTint="A6"/>
          <w:lang w:val="en-US"/>
        </w:rPr>
        <w:t xml:space="preserve">39. </w:t>
      </w:r>
      <w:r>
        <w:rPr>
          <w:rFonts w:cstheme="minorHAnsi"/>
          <w:bCs/>
          <w:vertAlign w:val="superscript"/>
          <w:rtl/>
          <w:lang w:val="en-US" w:bidi="he-IL"/>
        </w:rPr>
        <w:t>א</w:t>
      </w:r>
      <w:r>
        <w:rPr>
          <w:rFonts w:cstheme="minorHAnsi"/>
          <w:bCs/>
          <w:vertAlign w:val="superscript"/>
          <w:lang w:val="en-US" w:bidi="he-IL"/>
        </w:rPr>
        <w:t>,</w:t>
      </w:r>
      <w:r>
        <w:rPr>
          <w:rFonts w:cstheme="minorHAnsi"/>
          <w:vertAlign w:val="superscript"/>
          <w:lang w:val="en-US"/>
        </w:rPr>
        <w:sym w:font="Wingdings" w:char="F02A"/>
      </w:r>
      <w:hyperlink r:id="rId24" w:history="1">
        <w:r>
          <w:rPr>
            <w:rStyle w:val="Hyperlink"/>
            <w:rFonts w:cstheme="minorHAnsi"/>
            <w:b/>
            <w:lang w:val="en-US"/>
          </w:rPr>
          <w:t>Inherent biomechanical traits enable infective filariae to disseminate through collecting lymphatic vessels</w:t>
        </w:r>
      </w:hyperlink>
      <w:r>
        <w:rPr>
          <w:rFonts w:cstheme="minorHAnsi"/>
          <w:b/>
          <w:i/>
          <w:lang w:val="en-US"/>
        </w:rPr>
        <w:t xml:space="preserve"> </w:t>
      </w:r>
      <w:r>
        <w:rPr>
          <w:rFonts w:cstheme="minorHAnsi"/>
          <w:u w:val="single"/>
          <w:lang w:val="en-US"/>
        </w:rPr>
        <w:t>Kilarski WW</w:t>
      </w:r>
      <w:r>
        <w:rPr>
          <w:rFonts w:cstheme="minorHAnsi"/>
          <w:vertAlign w:val="superscript"/>
          <w:lang w:val="en-US"/>
        </w:rPr>
        <w:sym w:font="Wingdings" w:char="F02A"/>
      </w:r>
      <w:r>
        <w:rPr>
          <w:rFonts w:cstheme="minorHAnsi"/>
          <w:lang w:val="en-US"/>
        </w:rPr>
        <w:t>, Pisano, Bain, Martin, Babayan, and Swartz MA</w:t>
      </w:r>
      <w:r>
        <w:rPr>
          <w:rFonts w:cstheme="minorHAnsi"/>
          <w:vertAlign w:val="superscript"/>
          <w:lang w:val="en-US"/>
        </w:rPr>
        <w:sym w:font="Wingdings" w:char="F02A"/>
      </w:r>
      <w:r>
        <w:rPr>
          <w:rFonts w:cstheme="minorHAnsi"/>
          <w:lang w:val="en-US"/>
        </w:rPr>
        <w:t xml:space="preserve">. (2019) </w:t>
      </w:r>
      <w:r>
        <w:rPr>
          <w:rFonts w:cstheme="minorHAnsi"/>
          <w:b/>
          <w:lang w:val="en-US"/>
        </w:rPr>
        <w:t xml:space="preserve">Nat Commun, </w:t>
      </w:r>
      <w:r>
        <w:rPr>
          <w:rFonts w:cstheme="minorHAnsi"/>
          <w:color w:val="222222"/>
          <w:shd w:val="clear" w:color="auto" w:fill="FFFFFF"/>
          <w:lang w:val="en-US"/>
        </w:rPr>
        <w:t>5-year</w:t>
      </w:r>
      <w:r>
        <w:rPr>
          <w:rFonts w:cstheme="minorHAnsi"/>
          <w:b/>
          <w:lang w:val="en-US"/>
        </w:rPr>
        <w:t xml:space="preserve"> IF - </w:t>
      </w:r>
      <w:r>
        <w:rPr>
          <w:rFonts w:cstheme="minorHAnsi"/>
          <w:b/>
          <w:bCs/>
          <w:color w:val="4D5156"/>
          <w:shd w:val="clear" w:color="auto" w:fill="FFFFFF"/>
          <w:lang w:val="en-US"/>
        </w:rPr>
        <w:t>13.610</w:t>
      </w:r>
    </w:p>
    <w:p>
      <w:pPr>
        <w:tabs>
          <w:tab w:val="left" w:pos="360"/>
        </w:tabs>
        <w:spacing w:after="120"/>
        <w:ind w:left="432" w:hanging="432"/>
        <w:rPr>
          <w:rFonts w:cstheme="minorHAnsi"/>
          <w:lang w:val="en-US"/>
        </w:rPr>
      </w:pPr>
      <w:r>
        <w:rPr>
          <w:rFonts w:cstheme="minorHAnsi"/>
          <w:color w:val="595959" w:themeColor="text1" w:themeTint="A6"/>
          <w:lang w:val="en-US"/>
        </w:rPr>
        <w:t>38.</w:t>
      </w:r>
      <w:r>
        <w:rPr>
          <w:rFonts w:cstheme="minorHAnsi"/>
          <w:color w:val="595959" w:themeColor="text1" w:themeTint="A6"/>
          <w:lang w:val="en-US"/>
        </w:rPr>
        <w:tab/>
      </w:r>
      <w:hyperlink r:id="rId25" w:history="1">
        <w:r>
          <w:rPr>
            <w:rStyle w:val="Hyperlink"/>
            <w:rFonts w:cstheme="minorHAnsi"/>
            <w:spacing w:val="-2"/>
            <w:lang w:val="en-US"/>
          </w:rPr>
          <w:t>Characterization of the B16-F10 melanoma model locally transplanted on the ear pinnae of C57BL/6 mice</w:t>
        </w:r>
      </w:hyperlink>
      <w:r>
        <w:rPr>
          <w:rFonts w:cstheme="minorHAnsi"/>
          <w:spacing w:val="-2"/>
          <w:lang w:val="en-US"/>
        </w:rPr>
        <w:t xml:space="preserve">. Potez, et al., </w:t>
      </w:r>
      <w:r>
        <w:rPr>
          <w:rFonts w:cstheme="minorHAnsi"/>
          <w:spacing w:val="-2"/>
          <w:u w:val="single"/>
          <w:lang w:val="en-US"/>
        </w:rPr>
        <w:t>Kilarski WW</w:t>
      </w:r>
      <w:r>
        <w:rPr>
          <w:rFonts w:cstheme="minorHAnsi"/>
          <w:spacing w:val="-2"/>
          <w:lang w:val="en-US"/>
        </w:rPr>
        <w:t xml:space="preserve">, Hlushchuk, Laissue, </w:t>
      </w:r>
      <w:r>
        <w:rPr>
          <w:rFonts w:cstheme="minorHAnsi"/>
          <w:noProof/>
          <w:spacing w:val="-2"/>
          <w:lang w:val="en-US"/>
        </w:rPr>
        <w:t>and</w:t>
      </w:r>
      <w:r>
        <w:rPr>
          <w:rFonts w:cstheme="minorHAnsi"/>
          <w:spacing w:val="-2"/>
          <w:lang w:val="en-US"/>
        </w:rPr>
        <w:t xml:space="preserve"> Djonov V. (2018) </w:t>
      </w:r>
      <w:r>
        <w:rPr>
          <w:rFonts w:cstheme="minorHAnsi"/>
          <w:b/>
          <w:spacing w:val="-2"/>
          <w:lang w:val="en-US"/>
        </w:rPr>
        <w:t xml:space="preserve">PLOS ONE, </w:t>
      </w:r>
      <w:r>
        <w:rPr>
          <w:rFonts w:cstheme="minorHAnsi"/>
          <w:color w:val="222222"/>
          <w:shd w:val="clear" w:color="auto" w:fill="FFFFFF"/>
          <w:lang w:val="en-US"/>
        </w:rPr>
        <w:t>5-year</w:t>
      </w:r>
      <w:r>
        <w:rPr>
          <w:rFonts w:cstheme="minorHAnsi"/>
          <w:b/>
          <w:lang w:val="en-US"/>
        </w:rPr>
        <w:t xml:space="preserve"> IF - 3.1</w:t>
      </w:r>
    </w:p>
    <w:p>
      <w:pPr>
        <w:spacing w:after="120"/>
        <w:ind w:left="432" w:hanging="432"/>
        <w:rPr>
          <w:rFonts w:cstheme="minorHAnsi"/>
          <w:lang w:val="en-US"/>
        </w:rPr>
      </w:pPr>
      <w:r>
        <w:rPr>
          <w:rFonts w:cstheme="minorHAnsi"/>
          <w:color w:val="595959" w:themeColor="text1" w:themeTint="A6"/>
          <w:lang w:val="en-US"/>
        </w:rPr>
        <w:t>37.</w:t>
      </w:r>
      <w:r>
        <w:rPr>
          <w:rFonts w:cstheme="minorHAnsi"/>
          <w:b/>
          <w:bCs/>
          <w:iCs/>
          <w:color w:val="595959" w:themeColor="text1" w:themeTint="A6"/>
          <w:vertAlign w:val="superscript"/>
          <w:rtl/>
          <w:lang w:val="en-US" w:bidi="he-IL"/>
        </w:rPr>
        <w:t>א</w:t>
      </w:r>
      <w:r>
        <w:rPr>
          <w:rFonts w:cstheme="minorHAnsi"/>
          <w:vertAlign w:val="superscript"/>
          <w:lang w:val="en-US"/>
        </w:rPr>
        <w:t>,</w:t>
      </w:r>
      <w:r>
        <w:rPr>
          <w:rFonts w:cstheme="minorHAnsi"/>
          <w:vertAlign w:val="superscript"/>
          <w:lang w:val="en-US"/>
        </w:rPr>
        <w:sym w:font="Wingdings" w:char="F02A"/>
      </w:r>
      <w:hyperlink r:id="rId26" w:history="1">
        <w:r>
          <w:rPr>
            <w:rStyle w:val="Hyperlink"/>
            <w:rFonts w:cstheme="minorHAnsi"/>
            <w:iCs/>
            <w:lang w:val="en-US"/>
          </w:rPr>
          <w:t>Dorsal ear skin window for intravital imaging and functional analysis of lymphangiogenesis.</w:t>
        </w:r>
      </w:hyperlink>
      <w:r>
        <w:rPr>
          <w:rFonts w:cstheme="minorHAnsi"/>
          <w:color w:val="595959" w:themeColor="text1" w:themeTint="A6"/>
          <w:lang w:val="en-US"/>
        </w:rPr>
        <w:t xml:space="preserve"> </w:t>
      </w:r>
      <w:r>
        <w:rPr>
          <w:rFonts w:cstheme="minorHAnsi"/>
          <w:u w:val="single"/>
          <w:lang w:val="en-US"/>
        </w:rPr>
        <w:t>Kilarski WW</w:t>
      </w:r>
      <w:r>
        <w:rPr>
          <w:rFonts w:cstheme="minorHAnsi"/>
          <w:vertAlign w:val="superscript"/>
          <w:lang w:val="en-US"/>
        </w:rPr>
        <w:sym w:font="Wingdings" w:char="F02A"/>
      </w:r>
      <w:r>
        <w:rPr>
          <w:rFonts w:cstheme="minorHAnsi"/>
          <w:lang w:val="en-US"/>
        </w:rPr>
        <w:t xml:space="preserve">, Güç, Swartz MA (2018) </w:t>
      </w:r>
      <w:r>
        <w:rPr>
          <w:rFonts w:cstheme="minorHAnsi"/>
          <w:b/>
          <w:lang w:val="en-US"/>
        </w:rPr>
        <w:t xml:space="preserve">Methods Mol Biol. </w:t>
      </w:r>
      <w:r>
        <w:rPr>
          <w:rFonts w:cstheme="minorHAnsi"/>
          <w:b/>
          <w:i/>
          <w:lang w:val="en-US"/>
        </w:rPr>
        <w:t>Lymphangiogenesis</w:t>
      </w:r>
      <w:r>
        <w:rPr>
          <w:rFonts w:cstheme="minorHAnsi"/>
          <w:lang w:val="en-US"/>
        </w:rPr>
        <w:t xml:space="preserve"> </w:t>
      </w:r>
      <w:r>
        <w:rPr>
          <w:rFonts w:cstheme="minorHAnsi"/>
          <w:shd w:val="clear" w:color="auto" w:fill="FFFFFF"/>
          <w:lang w:val="en-US"/>
        </w:rPr>
        <w:t>261-277 (Book chapter)</w:t>
      </w:r>
    </w:p>
    <w:p>
      <w:pPr>
        <w:spacing w:after="120"/>
        <w:ind w:left="432" w:hanging="432"/>
        <w:rPr>
          <w:rFonts w:cstheme="minorHAnsi"/>
          <w:lang w:val="en-US"/>
        </w:rPr>
      </w:pPr>
      <w:r>
        <w:rPr>
          <w:rFonts w:cstheme="minorHAnsi"/>
          <w:lang w:val="en-US"/>
        </w:rPr>
        <w:t>36.</w:t>
      </w:r>
      <w:r>
        <w:rPr>
          <w:rFonts w:cstheme="minorHAnsi"/>
          <w:b/>
          <w:bCs/>
          <w:color w:val="595959" w:themeColor="text1" w:themeTint="A6"/>
          <w:vertAlign w:val="superscript"/>
          <w:rtl/>
          <w:lang w:val="en-US" w:bidi="he-IL"/>
        </w:rPr>
        <w:t>א</w:t>
      </w:r>
      <w:hyperlink r:id="rId27" w:history="1">
        <w:r>
          <w:rPr>
            <w:rStyle w:val="Hyperlink"/>
            <w:rFonts w:cstheme="minorHAnsi"/>
            <w:lang w:val="en-US"/>
          </w:rPr>
          <w:t>Methods for mapping the extracellular and membrane proteome in the avian embryo.</w:t>
        </w:r>
      </w:hyperlink>
      <w:r>
        <w:rPr>
          <w:rStyle w:val="gi"/>
          <w:rFonts w:cstheme="minorHAnsi"/>
          <w:lang w:val="en-US"/>
        </w:rPr>
        <w:t xml:space="preserve"> Kilarski</w:t>
      </w:r>
      <w:r>
        <w:rPr>
          <w:rStyle w:val="gi"/>
          <w:rFonts w:cstheme="minorHAnsi"/>
          <w:b/>
          <w:lang w:val="en-US"/>
        </w:rPr>
        <w:t xml:space="preserve"> </w:t>
      </w:r>
      <w:r>
        <w:rPr>
          <w:rStyle w:val="gi"/>
          <w:rFonts w:cstheme="minorHAnsi"/>
          <w:lang w:val="en-US"/>
        </w:rPr>
        <w:t xml:space="preserve">WW, </w:t>
      </w:r>
      <w:r>
        <w:rPr>
          <w:rFonts w:cstheme="minorHAnsi"/>
          <w:lang w:val="en-US"/>
        </w:rPr>
        <w:t xml:space="preserve">Herbert and </w:t>
      </w:r>
      <w:r>
        <w:rPr>
          <w:rStyle w:val="gi"/>
          <w:rFonts w:cstheme="minorHAnsi"/>
          <w:lang w:val="en-US"/>
        </w:rPr>
        <w:t xml:space="preserve">Bikfalvi A (2018) </w:t>
      </w:r>
      <w:r>
        <w:rPr>
          <w:rStyle w:val="gi"/>
          <w:rFonts w:cstheme="minorHAnsi"/>
          <w:b/>
          <w:lang w:val="en-US"/>
        </w:rPr>
        <w:t>Methods Mol Biol.</w:t>
      </w:r>
      <w:r>
        <w:rPr>
          <w:rStyle w:val="gi"/>
          <w:rFonts w:cstheme="minorHAnsi"/>
          <w:lang w:val="en-US"/>
        </w:rPr>
        <w:t xml:space="preserve"> </w:t>
      </w:r>
      <w:r>
        <w:rPr>
          <w:rStyle w:val="gi"/>
          <w:rFonts w:cstheme="minorHAnsi"/>
          <w:b/>
          <w:i/>
          <w:lang w:val="en-US"/>
        </w:rPr>
        <w:t>Surfectome</w:t>
      </w:r>
      <w:r>
        <w:rPr>
          <w:rStyle w:val="gi"/>
          <w:rFonts w:cstheme="minorHAnsi"/>
          <w:b/>
          <w:lang w:val="en-US"/>
        </w:rPr>
        <w:t xml:space="preserve"> </w:t>
      </w:r>
      <w:r>
        <w:rPr>
          <w:rFonts w:cstheme="minorHAnsi"/>
          <w:shd w:val="clear" w:color="auto" w:fill="FFFFFF"/>
          <w:lang w:val="en-US"/>
        </w:rPr>
        <w:t>31-56. (Book chapter)</w:t>
      </w:r>
    </w:p>
    <w:p>
      <w:pPr>
        <w:spacing w:after="120"/>
        <w:ind w:left="432" w:hanging="432"/>
        <w:rPr>
          <w:rFonts w:cstheme="minorHAnsi"/>
          <w:b/>
          <w:spacing w:val="-6"/>
          <w:lang w:val="en-US"/>
        </w:rPr>
      </w:pPr>
      <w:r>
        <w:rPr>
          <w:rFonts w:cstheme="minorHAnsi"/>
          <w:spacing w:val="-6"/>
          <w:lang w:val="en-US"/>
        </w:rPr>
        <w:t>35.</w:t>
      </w:r>
      <w:r>
        <w:rPr>
          <w:rFonts w:cstheme="minorHAnsi"/>
          <w:spacing w:val="-6"/>
          <w:lang w:val="en-US"/>
        </w:rPr>
        <w:tab/>
      </w:r>
      <w:hyperlink r:id="rId28" w:history="1">
        <w:r>
          <w:rPr>
            <w:rStyle w:val="Hyperlink"/>
            <w:rFonts w:cstheme="minorHAnsi"/>
            <w:spacing w:val="-2"/>
            <w:lang w:val="en-US"/>
          </w:rPr>
          <w:t>Inhibition of lymphangiogenesis impairs antitumor effects of photodynamic therapy and checkpoint inhibitors in mice</w:t>
        </w:r>
      </w:hyperlink>
      <w:r>
        <w:rPr>
          <w:rStyle w:val="Hyperlink"/>
          <w:rFonts w:cstheme="minorHAnsi"/>
          <w:spacing w:val="-2"/>
          <w:lang w:val="en-US"/>
        </w:rPr>
        <w:t>.</w:t>
      </w:r>
      <w:r>
        <w:rPr>
          <w:rFonts w:cstheme="minorHAnsi"/>
          <w:spacing w:val="-2"/>
          <w:lang w:val="en-US"/>
        </w:rPr>
        <w:t xml:space="preserve"> </w:t>
      </w:r>
      <w:r>
        <w:rPr>
          <w:rFonts w:cstheme="minorHAnsi"/>
          <w:spacing w:val="-6"/>
          <w:lang w:val="en-US"/>
        </w:rPr>
        <w:t xml:space="preserve">Muchowicz, et al., </w:t>
      </w:r>
      <w:r>
        <w:rPr>
          <w:rFonts w:cstheme="minorHAnsi"/>
          <w:spacing w:val="-4"/>
          <w:u w:val="single"/>
          <w:lang w:val="en-US"/>
        </w:rPr>
        <w:t>Kilarski WW</w:t>
      </w:r>
      <w:r>
        <w:rPr>
          <w:rFonts w:cstheme="minorHAnsi"/>
          <w:spacing w:val="-6"/>
          <w:lang w:val="en-US"/>
        </w:rPr>
        <w:t xml:space="preserve">, Boon, Klaus, Golab J (2017) </w:t>
      </w:r>
      <w:r>
        <w:rPr>
          <w:rFonts w:cstheme="minorHAnsi"/>
          <w:b/>
          <w:spacing w:val="-6"/>
          <w:lang w:val="en-US"/>
        </w:rPr>
        <w:t xml:space="preserve">Eur J Cancer, </w:t>
      </w:r>
      <w:r>
        <w:rPr>
          <w:rFonts w:cstheme="minorHAnsi"/>
          <w:color w:val="222222"/>
          <w:shd w:val="clear" w:color="auto" w:fill="FFFFFF"/>
          <w:lang w:val="en-US"/>
        </w:rPr>
        <w:t>5-year</w:t>
      </w:r>
      <w:r>
        <w:rPr>
          <w:rFonts w:cstheme="minorHAnsi"/>
          <w:b/>
          <w:lang w:val="en-US"/>
        </w:rPr>
        <w:t xml:space="preserve"> IF - </w:t>
      </w:r>
      <w:r>
        <w:rPr>
          <w:rFonts w:cstheme="minorHAnsi"/>
          <w:b/>
          <w:spacing w:val="-6"/>
          <w:lang w:val="en-US"/>
        </w:rPr>
        <w:t>7.121</w:t>
      </w:r>
    </w:p>
    <w:p>
      <w:pPr>
        <w:spacing w:after="120"/>
        <w:ind w:left="432" w:hanging="432"/>
        <w:rPr>
          <w:rFonts w:cstheme="minorHAnsi"/>
          <w:lang w:val="en-US"/>
        </w:rPr>
      </w:pPr>
      <w:r>
        <w:rPr>
          <w:rFonts w:cstheme="minorHAnsi"/>
          <w:lang w:val="en-US"/>
        </w:rPr>
        <w:t>34.</w:t>
      </w:r>
      <w:r>
        <w:rPr>
          <w:rFonts w:cstheme="minorHAnsi"/>
          <w:b/>
          <w:bCs/>
          <w:vertAlign w:val="superscript"/>
          <w:lang w:val="en-US"/>
        </w:rPr>
        <w:t>Ω,</w:t>
      </w:r>
      <w:r>
        <w:rPr>
          <w:rFonts w:cstheme="minorHAnsi"/>
          <w:vertAlign w:val="superscript"/>
          <w:lang w:val="en-US"/>
        </w:rPr>
        <w:sym w:font="Wingdings" w:char="F02A"/>
      </w:r>
      <w:hyperlink r:id="rId29" w:history="1">
        <w:r>
          <w:rPr>
            <w:rStyle w:val="Hyperlink"/>
            <w:rFonts w:cstheme="minorHAnsi"/>
            <w:b/>
            <w:lang w:val="en-US"/>
          </w:rPr>
          <w:t>Local induction of lymphangiogenesis with engineered fibrin-binding VEGF-C promotes healing by increasing immune trafficking and matrix remodeling</w:t>
        </w:r>
      </w:hyperlink>
      <w:r>
        <w:rPr>
          <w:rFonts w:cstheme="minorHAnsi"/>
          <w:lang w:val="en-US"/>
        </w:rPr>
        <w:t xml:space="preserve">. </w:t>
      </w:r>
      <w:bookmarkStart w:id="18" w:name="_Hlk509445299"/>
      <w:r>
        <w:rPr>
          <w:rFonts w:cstheme="minorHAnsi"/>
          <w:lang w:val="en-US"/>
        </w:rPr>
        <w:t xml:space="preserve">Güç, </w:t>
      </w:r>
      <w:bookmarkEnd w:id="18"/>
      <w:r>
        <w:rPr>
          <w:rFonts w:cstheme="minorHAnsi"/>
          <w:lang w:val="en-US"/>
        </w:rPr>
        <w:t>et al., Swartz MA</w:t>
      </w:r>
      <w:r>
        <w:rPr>
          <w:rFonts w:cstheme="minorHAnsi"/>
          <w:vertAlign w:val="superscript"/>
          <w:lang w:val="en-US"/>
        </w:rPr>
        <w:sym w:font="Wingdings" w:char="F061"/>
      </w:r>
      <w:r>
        <w:rPr>
          <w:rFonts w:cstheme="minorHAnsi"/>
          <w:vertAlign w:val="superscript"/>
          <w:lang w:val="en-US"/>
        </w:rPr>
        <w:t>,</w:t>
      </w:r>
      <w:r>
        <w:rPr>
          <w:rFonts w:cstheme="minorHAnsi"/>
          <w:vertAlign w:val="superscript"/>
          <w:lang w:val="en-US"/>
        </w:rPr>
        <w:sym w:font="Wingdings" w:char="F02A"/>
      </w:r>
      <w:r>
        <w:rPr>
          <w:rFonts w:cstheme="minorHAnsi"/>
          <w:vertAlign w:val="superscript"/>
          <w:lang w:val="en-US"/>
        </w:rPr>
        <w:t xml:space="preserve"> </w:t>
      </w:r>
      <w:r>
        <w:rPr>
          <w:rFonts w:cstheme="minorHAnsi"/>
          <w:u w:val="single"/>
          <w:lang w:val="en-US"/>
        </w:rPr>
        <w:t>&amp; Kilarski WW</w:t>
      </w:r>
      <w:r>
        <w:rPr>
          <w:rFonts w:cstheme="minorHAnsi"/>
          <w:vertAlign w:val="superscript"/>
          <w:lang w:val="en-US"/>
        </w:rPr>
        <w:sym w:font="Wingdings" w:char="F061"/>
      </w:r>
      <w:r>
        <w:rPr>
          <w:rFonts w:cstheme="minorHAnsi"/>
          <w:vertAlign w:val="superscript"/>
          <w:lang w:val="en-US"/>
        </w:rPr>
        <w:t>,</w:t>
      </w:r>
      <w:r>
        <w:rPr>
          <w:rFonts w:cstheme="minorHAnsi"/>
          <w:vertAlign w:val="superscript"/>
          <w:lang w:val="en-US"/>
        </w:rPr>
        <w:sym w:font="Wingdings" w:char="F02A"/>
      </w:r>
      <w:r>
        <w:rPr>
          <w:rFonts w:cstheme="minorHAnsi"/>
          <w:lang w:val="en-US"/>
        </w:rPr>
        <w:t xml:space="preserve"> (2017) </w:t>
      </w:r>
      <w:r>
        <w:rPr>
          <w:rFonts w:cstheme="minorHAnsi"/>
          <w:b/>
          <w:bCs/>
          <w:lang w:val="en-US"/>
        </w:rPr>
        <w:t>Biomaterials</w:t>
      </w:r>
      <w:r>
        <w:rPr>
          <w:rFonts w:cstheme="minorHAnsi"/>
          <w:shd w:val="clear" w:color="auto" w:fill="FFFFFF"/>
          <w:lang w:val="en-US"/>
        </w:rPr>
        <w:t xml:space="preserve">, </w:t>
      </w:r>
      <w:r>
        <w:rPr>
          <w:rFonts w:cstheme="minorHAnsi"/>
          <w:color w:val="222222"/>
          <w:shd w:val="clear" w:color="auto" w:fill="FFFFFF"/>
          <w:lang w:val="en-US"/>
        </w:rPr>
        <w:t>5-year</w:t>
      </w:r>
      <w:r>
        <w:rPr>
          <w:rFonts w:cstheme="minorHAnsi"/>
          <w:b/>
          <w:lang w:val="en-US"/>
        </w:rPr>
        <w:t xml:space="preserve"> IF - 9.656</w:t>
      </w:r>
    </w:p>
    <w:p>
      <w:pPr>
        <w:spacing w:after="120"/>
        <w:ind w:left="432" w:hanging="432"/>
        <w:rPr>
          <w:rStyle w:val="gi"/>
          <w:rFonts w:cstheme="minorHAnsi"/>
          <w:lang w:val="en-US"/>
        </w:rPr>
      </w:pPr>
      <w:r>
        <w:rPr>
          <w:rFonts w:cstheme="minorHAnsi"/>
          <w:lang w:val="en-US"/>
        </w:rPr>
        <w:t>33.</w:t>
      </w:r>
      <w:r>
        <w:rPr>
          <w:rFonts w:cstheme="minorHAnsi"/>
          <w:lang w:val="en-US"/>
        </w:rPr>
        <w:tab/>
      </w:r>
      <w:hyperlink r:id="rId30" w:history="1">
        <w:r>
          <w:rPr>
            <w:rStyle w:val="Hyperlink"/>
            <w:rFonts w:cstheme="minorHAnsi"/>
            <w:lang w:val="en-US"/>
          </w:rPr>
          <w:t>Transcellular transport pathways in lymphatic endothelial cells regulate changes in lymph formation by fluid stress</w:t>
        </w:r>
      </w:hyperlink>
      <w:r>
        <w:rPr>
          <w:rFonts w:cstheme="minorHAnsi"/>
          <w:lang w:val="en-US"/>
        </w:rPr>
        <w:t xml:space="preserve">. Triacca, </w:t>
      </w:r>
      <w:r>
        <w:rPr>
          <w:rStyle w:val="gi"/>
          <w:rFonts w:cstheme="minorHAnsi"/>
          <w:lang w:val="en-US"/>
        </w:rPr>
        <w:t xml:space="preserve">Güç </w:t>
      </w:r>
      <w:r>
        <w:rPr>
          <w:rFonts w:cstheme="minorHAnsi"/>
          <w:lang w:val="en-US"/>
        </w:rPr>
        <w:t xml:space="preserve">E, </w:t>
      </w:r>
      <w:r>
        <w:rPr>
          <w:rFonts w:cstheme="minorHAnsi"/>
          <w:u w:val="single"/>
          <w:lang w:val="en-US"/>
        </w:rPr>
        <w:t>Kilarski WW</w:t>
      </w:r>
      <w:r>
        <w:rPr>
          <w:rFonts w:cstheme="minorHAnsi"/>
          <w:lang w:val="en-US"/>
        </w:rPr>
        <w:t xml:space="preserve">, Pisano, and Swartz MA (2017) </w:t>
      </w:r>
      <w:r>
        <w:rPr>
          <w:rFonts w:cstheme="minorHAnsi"/>
          <w:b/>
          <w:lang w:val="en-US"/>
        </w:rPr>
        <w:t>Circ  Res, IF – 14.467</w:t>
      </w:r>
    </w:p>
    <w:p>
      <w:pPr>
        <w:spacing w:after="120"/>
        <w:ind w:left="432" w:hanging="432"/>
        <w:rPr>
          <w:rFonts w:cstheme="minorHAnsi"/>
          <w:color w:val="0000FF"/>
          <w:lang w:val="en-US"/>
        </w:rPr>
      </w:pPr>
      <w:r>
        <w:rPr>
          <w:rFonts w:cstheme="minorHAnsi"/>
          <w:lang w:val="en-US"/>
        </w:rPr>
        <w:t>32.</w:t>
      </w:r>
      <w:r>
        <w:rPr>
          <w:rFonts w:cstheme="minorHAnsi"/>
          <w:lang w:val="en-US"/>
        </w:rPr>
        <w:tab/>
      </w:r>
      <w:hyperlink r:id="rId31" w:history="1">
        <w:r>
          <w:rPr>
            <w:rStyle w:val="Hyperlink"/>
            <w:rFonts w:cstheme="minorHAnsi"/>
            <w:lang w:val="en-US"/>
          </w:rPr>
          <w:t>Perivascular macrophages limit permeability</w:t>
        </w:r>
      </w:hyperlink>
      <w:r>
        <w:rPr>
          <w:rStyle w:val="Hyperlink"/>
          <w:rFonts w:cstheme="minorHAnsi"/>
          <w:lang w:val="en-US"/>
        </w:rPr>
        <w:t xml:space="preserve">. </w:t>
      </w:r>
      <w:r>
        <w:rPr>
          <w:rFonts w:cstheme="minorHAnsi"/>
          <w:lang w:val="en-US"/>
        </w:rPr>
        <w:t xml:space="preserve">He, Mack, </w:t>
      </w:r>
      <w:r>
        <w:rPr>
          <w:rStyle w:val="gi"/>
          <w:rFonts w:cstheme="minorHAnsi"/>
          <w:lang w:val="en-US"/>
        </w:rPr>
        <w:t>Güç, Warren</w:t>
      </w:r>
      <w:r>
        <w:rPr>
          <w:rFonts w:cstheme="minorHAnsi"/>
          <w:lang w:val="en-US"/>
        </w:rPr>
        <w:t xml:space="preserve">, </w:t>
      </w:r>
      <w:r>
        <w:rPr>
          <w:rFonts w:cstheme="minorHAnsi"/>
          <w:u w:val="single"/>
          <w:lang w:val="en-US"/>
        </w:rPr>
        <w:t>Kilarski WW</w:t>
      </w:r>
      <w:r>
        <w:rPr>
          <w:rFonts w:cstheme="minorHAnsi"/>
          <w:lang w:val="en-US"/>
        </w:rPr>
        <w:t xml:space="preserve">, Baer, Freshman, McDonald AI, Ziyad, Swartz, De Palma, Iruela-Arispe LM (2016) </w:t>
      </w:r>
      <w:r>
        <w:rPr>
          <w:rFonts w:cstheme="minorHAnsi"/>
          <w:b/>
          <w:lang w:val="en-US"/>
        </w:rPr>
        <w:t>Arterioscler Thromb Vasc Biol, IF – 5.98</w:t>
      </w:r>
    </w:p>
    <w:p>
      <w:pPr>
        <w:spacing w:after="120"/>
        <w:ind w:left="432" w:hanging="432"/>
        <w:rPr>
          <w:rFonts w:cstheme="minorHAnsi"/>
          <w:lang w:val="en-US"/>
        </w:rPr>
      </w:pPr>
      <w:r>
        <w:rPr>
          <w:rFonts w:cstheme="minorHAnsi"/>
          <w:lang w:val="en-US"/>
        </w:rPr>
        <w:t>31.</w:t>
      </w:r>
      <w:r>
        <w:rPr>
          <w:rFonts w:cstheme="minorHAnsi"/>
          <w:lang w:val="en-US"/>
        </w:rPr>
        <w:tab/>
      </w:r>
      <w:hyperlink r:id="rId32" w:history="1">
        <w:r>
          <w:rPr>
            <w:rStyle w:val="Hyperlink"/>
            <w:rFonts w:cstheme="minorHAnsi"/>
            <w:lang w:val="en-US"/>
          </w:rPr>
          <w:t>Investigation of cell death mechanisms in human lymphatic endothelial cells undergoing photodynamic therapy</w:t>
        </w:r>
      </w:hyperlink>
      <w:r>
        <w:rPr>
          <w:rStyle w:val="Hyperlink"/>
          <w:rFonts w:cstheme="minorHAnsi"/>
          <w:lang w:val="en-US"/>
        </w:rPr>
        <w:t>.</w:t>
      </w:r>
      <w:r>
        <w:rPr>
          <w:rFonts w:cstheme="minorHAnsi"/>
          <w:lang w:val="en-US"/>
        </w:rPr>
        <w:t xml:space="preserve"> Wachowska, et al., </w:t>
      </w:r>
      <w:r>
        <w:rPr>
          <w:rFonts w:cstheme="minorHAnsi"/>
          <w:u w:val="single"/>
          <w:lang w:val="en-US"/>
        </w:rPr>
        <w:t>Kilarski WW</w:t>
      </w:r>
      <w:r>
        <w:rPr>
          <w:rFonts w:cstheme="minorHAnsi"/>
          <w:lang w:val="en-US"/>
        </w:rPr>
        <w:t xml:space="preserve">, Golab J (2016) </w:t>
      </w:r>
      <w:r>
        <w:rPr>
          <w:rFonts w:cstheme="minorHAnsi"/>
          <w:b/>
          <w:lang w:val="en-US"/>
        </w:rPr>
        <w:t>Photodiagnosis Photodyn Ther, IF – 3.39</w:t>
      </w:r>
    </w:p>
    <w:p>
      <w:pPr>
        <w:spacing w:after="120"/>
        <w:ind w:left="432" w:hanging="432"/>
        <w:rPr>
          <w:rFonts w:cstheme="minorHAnsi"/>
          <w:b/>
          <w:lang w:val="en-US"/>
        </w:rPr>
      </w:pPr>
      <w:r>
        <w:rPr>
          <w:rFonts w:cstheme="minorHAnsi"/>
          <w:bCs/>
          <w:spacing w:val="-2"/>
          <w:lang w:val="en-US"/>
        </w:rPr>
        <w:t>30.</w:t>
      </w:r>
      <w:r>
        <w:rPr>
          <w:rFonts w:cstheme="minorHAnsi"/>
          <w:spacing w:val="-2"/>
          <w:lang w:val="en-US"/>
        </w:rPr>
        <w:tab/>
      </w:r>
      <w:hyperlink r:id="rId33" w:history="1">
        <w:r>
          <w:rPr>
            <w:rStyle w:val="Hyperlink"/>
            <w:rFonts w:cstheme="minorHAnsi"/>
            <w:lang w:val="en-US"/>
          </w:rPr>
          <w:t>Combined CSL and p53 downregulation promote cancer-associated fibroblast activation</w:t>
        </w:r>
      </w:hyperlink>
      <w:r>
        <w:rPr>
          <w:rFonts w:cstheme="minorHAnsi"/>
          <w:lang w:val="en-US"/>
        </w:rPr>
        <w:t xml:space="preserve">. </w:t>
      </w:r>
      <w:r>
        <w:rPr>
          <w:rFonts w:cstheme="minorHAnsi"/>
          <w:bCs/>
          <w:spacing w:val="-2"/>
          <w:lang w:val="en-US"/>
        </w:rPr>
        <w:t xml:space="preserve">Procopio, et al., </w:t>
      </w:r>
      <w:r>
        <w:rPr>
          <w:rFonts w:cstheme="minorHAnsi"/>
          <w:bCs/>
          <w:spacing w:val="-2"/>
          <w:u w:val="single"/>
          <w:lang w:val="en-US"/>
        </w:rPr>
        <w:t>Kilarski WW</w:t>
      </w:r>
      <w:r>
        <w:rPr>
          <w:rFonts w:cstheme="minorHAnsi"/>
          <w:bCs/>
          <w:spacing w:val="-2"/>
          <w:lang w:val="en-US"/>
        </w:rPr>
        <w:t xml:space="preserve">, Swartz, Brisken, Lefort &amp; Dotto </w:t>
      </w:r>
      <w:r>
        <w:rPr>
          <w:rFonts w:cstheme="minorHAnsi"/>
          <w:bCs/>
          <w:lang w:val="en-US"/>
        </w:rPr>
        <w:t xml:space="preserve">GP </w:t>
      </w:r>
      <w:r>
        <w:rPr>
          <w:rFonts w:cstheme="minorHAnsi"/>
          <w:lang w:val="en-US"/>
        </w:rPr>
        <w:t xml:space="preserve">(2015) </w:t>
      </w:r>
      <w:r>
        <w:rPr>
          <w:rFonts w:cstheme="minorHAnsi"/>
          <w:b/>
          <w:lang w:val="en-US"/>
        </w:rPr>
        <w:t xml:space="preserve">Nature Cell Biol, </w:t>
      </w:r>
      <w:r>
        <w:rPr>
          <w:rFonts w:cstheme="minorHAnsi"/>
          <w:bCs/>
          <w:lang w:val="en-US"/>
        </w:rPr>
        <w:t>5-year</w:t>
      </w:r>
      <w:r>
        <w:rPr>
          <w:rFonts w:cstheme="minorHAnsi"/>
          <w:b/>
          <w:lang w:val="en-US"/>
        </w:rPr>
        <w:t xml:space="preserve"> IF – 20.96</w:t>
      </w:r>
    </w:p>
    <w:p>
      <w:pPr>
        <w:spacing w:after="120"/>
        <w:ind w:left="432" w:hanging="432"/>
        <w:rPr>
          <w:rFonts w:cstheme="minorHAnsi"/>
          <w:lang w:val="pl-PL"/>
        </w:rPr>
      </w:pPr>
      <w:r>
        <w:rPr>
          <w:rFonts w:cstheme="minorHAnsi"/>
          <w:lang w:val="en-US"/>
        </w:rPr>
        <w:t>29.</w:t>
      </w:r>
      <w:r>
        <w:rPr>
          <w:rFonts w:cstheme="minorHAnsi"/>
          <w:lang w:val="en-US"/>
        </w:rPr>
        <w:tab/>
      </w:r>
      <w:hyperlink r:id="rId34" w:history="1">
        <w:r>
          <w:rPr>
            <w:rStyle w:val="Hyperlink"/>
            <w:rFonts w:cstheme="minorHAnsi"/>
            <w:lang w:val="en-US"/>
          </w:rPr>
          <w:t>ADAM17 promotes motility, invasion, and sprouting of lymphatic endothelial cells</w:t>
        </w:r>
      </w:hyperlink>
      <w:r>
        <w:rPr>
          <w:rStyle w:val="Hyperlink"/>
          <w:rFonts w:cstheme="minorHAnsi"/>
          <w:lang w:val="en-US"/>
        </w:rPr>
        <w:t xml:space="preserve">. </w:t>
      </w:r>
      <w:r>
        <w:rPr>
          <w:rFonts w:cstheme="minorHAnsi"/>
          <w:lang w:val="pl-PL"/>
        </w:rPr>
        <w:t xml:space="preserve">Mężyk-Kopeć, Wyroba, Stalińska, Próchnicki, </w:t>
      </w:r>
      <w:r>
        <w:rPr>
          <w:rFonts w:cstheme="minorHAnsi"/>
          <w:u w:val="single"/>
          <w:lang w:val="pl-PL"/>
        </w:rPr>
        <w:t>Kilarski WW</w:t>
      </w:r>
      <w:r>
        <w:rPr>
          <w:rFonts w:cstheme="minorHAnsi"/>
          <w:lang w:val="pl-PL"/>
        </w:rPr>
        <w:t xml:space="preserve">, Swartz MA, Bereta J (2015) </w:t>
      </w:r>
      <w:r>
        <w:rPr>
          <w:rFonts w:cstheme="minorHAnsi"/>
          <w:b/>
          <w:noProof/>
          <w:lang w:val="pl-PL"/>
        </w:rPr>
        <w:t>PLOS</w:t>
      </w:r>
      <w:r>
        <w:rPr>
          <w:rFonts w:cstheme="minorHAnsi"/>
          <w:b/>
          <w:lang w:val="pl-PL"/>
        </w:rPr>
        <w:t xml:space="preserve"> ONE, </w:t>
      </w:r>
      <w:r>
        <w:rPr>
          <w:rFonts w:cstheme="minorHAnsi"/>
          <w:color w:val="222222"/>
          <w:shd w:val="clear" w:color="auto" w:fill="FFFFFF"/>
          <w:lang w:val="pl-PL"/>
        </w:rPr>
        <w:t>5-year</w:t>
      </w:r>
      <w:r>
        <w:rPr>
          <w:rFonts w:cstheme="minorHAnsi"/>
          <w:b/>
          <w:lang w:val="pl-PL"/>
        </w:rPr>
        <w:t xml:space="preserve"> IF - 3.1</w:t>
      </w:r>
    </w:p>
    <w:p>
      <w:pPr>
        <w:spacing w:after="120"/>
        <w:ind w:left="432" w:hanging="432"/>
        <w:rPr>
          <w:rFonts w:cstheme="minorHAnsi"/>
          <w:lang w:val="en-US"/>
        </w:rPr>
      </w:pPr>
      <w:r>
        <w:rPr>
          <w:rStyle w:val="gi"/>
          <w:rFonts w:cstheme="minorHAnsi"/>
          <w:lang w:val="en-US"/>
        </w:rPr>
        <w:t>28.</w:t>
      </w:r>
      <w:r>
        <w:rPr>
          <w:rStyle w:val="gi"/>
          <w:rFonts w:cstheme="minorHAnsi"/>
          <w:lang w:val="en-US"/>
        </w:rPr>
        <w:tab/>
      </w:r>
      <w:hyperlink r:id="rId35" w:history="1">
        <w:r>
          <w:rPr>
            <w:rStyle w:val="Hyperlink"/>
            <w:rFonts w:cstheme="minorHAnsi"/>
            <w:noProof/>
            <w:spacing w:val="-4"/>
            <w:lang w:val="en-US"/>
          </w:rPr>
          <w:t>Overcoming inefficient secretion of recombinant VEGF-C in baculovirus expression vector system by simple purification of the protein from cell lysate</w:t>
        </w:r>
      </w:hyperlink>
      <w:r>
        <w:rPr>
          <w:rStyle w:val="Hyperlink"/>
          <w:rFonts w:cstheme="minorHAnsi"/>
          <w:noProof/>
          <w:spacing w:val="-4"/>
          <w:lang w:val="en-US"/>
        </w:rPr>
        <w:t>.</w:t>
      </w:r>
      <w:r>
        <w:rPr>
          <w:rStyle w:val="Hyperlink"/>
          <w:rFonts w:cstheme="minorHAnsi"/>
          <w:spacing w:val="-4"/>
          <w:lang w:val="en-US"/>
        </w:rPr>
        <w:t xml:space="preserve"> </w:t>
      </w:r>
      <w:r>
        <w:rPr>
          <w:rStyle w:val="gi"/>
          <w:rFonts w:cstheme="minorHAnsi"/>
          <w:spacing w:val="-4"/>
          <w:lang w:val="en-US"/>
        </w:rPr>
        <w:t xml:space="preserve">Klaus, Kulesza, Bzowska, </w:t>
      </w:r>
      <w:r>
        <w:rPr>
          <w:rStyle w:val="gi"/>
          <w:rFonts w:cstheme="minorHAnsi"/>
          <w:lang w:val="en-US"/>
        </w:rPr>
        <w:t xml:space="preserve">Wyroba, Kilarski WW and Bereta J (2015) </w:t>
      </w:r>
      <w:r>
        <w:rPr>
          <w:rStyle w:val="gi"/>
          <w:rFonts w:cstheme="minorHAnsi"/>
          <w:b/>
          <w:lang w:val="en-US"/>
        </w:rPr>
        <w:t>Protein Expr Purif</w:t>
      </w:r>
      <w:r>
        <w:rPr>
          <w:rFonts w:cstheme="minorHAnsi"/>
          <w:shd w:val="clear" w:color="auto" w:fill="FFFFFF"/>
          <w:lang w:val="en-US"/>
        </w:rPr>
        <w:t xml:space="preserve">, </w:t>
      </w:r>
      <w:r>
        <w:rPr>
          <w:rFonts w:cstheme="minorHAnsi"/>
          <w:b/>
          <w:bCs/>
          <w:shd w:val="clear" w:color="auto" w:fill="FFFFFF"/>
          <w:lang w:val="en-US"/>
        </w:rPr>
        <w:t>IF 1.64</w:t>
      </w:r>
    </w:p>
    <w:p>
      <w:pPr>
        <w:spacing w:after="120"/>
        <w:ind w:left="432" w:hanging="432"/>
        <w:rPr>
          <w:rFonts w:cstheme="minorHAnsi"/>
          <w:lang w:val="en-US"/>
        </w:rPr>
      </w:pPr>
      <w:r>
        <w:rPr>
          <w:rFonts w:cstheme="minorHAnsi"/>
          <w:bCs/>
          <w:lang w:val="en-US"/>
        </w:rPr>
        <w:t>27.</w:t>
      </w:r>
      <w:r>
        <w:rPr>
          <w:rFonts w:cstheme="minorHAnsi"/>
          <w:bCs/>
          <w:lang w:val="en-US"/>
        </w:rPr>
        <w:tab/>
      </w:r>
      <w:hyperlink r:id="rId36" w:history="1">
        <w:r>
          <w:rPr>
            <w:rStyle w:val="Hyperlink"/>
            <w:rFonts w:cstheme="minorHAnsi"/>
            <w:lang w:val="en-US"/>
          </w:rPr>
          <w:t>Photoactivation of lysosomal sunitinib after angiostatic treatment causes vascular occlusion and enhances tumor inhibition</w:t>
        </w:r>
      </w:hyperlink>
      <w:r>
        <w:rPr>
          <w:rStyle w:val="Hyperlink"/>
          <w:rFonts w:cstheme="minorHAnsi"/>
          <w:lang w:val="en-US"/>
        </w:rPr>
        <w:t xml:space="preserve">. </w:t>
      </w:r>
      <w:r>
        <w:rPr>
          <w:rFonts w:cstheme="minorHAnsi"/>
          <w:bCs/>
          <w:lang w:val="en-US"/>
        </w:rPr>
        <w:t>Nowak-</w:t>
      </w:r>
      <w:r>
        <w:rPr>
          <w:rFonts w:cstheme="minorHAnsi"/>
          <w:bCs/>
          <w:noProof/>
          <w:lang w:val="en-US"/>
        </w:rPr>
        <w:t>Sliwinska</w:t>
      </w:r>
      <w:r>
        <w:rPr>
          <w:rFonts w:cstheme="minorHAnsi"/>
          <w:lang w:val="en-US"/>
        </w:rPr>
        <w:t xml:space="preserve">, Weiss, Beijnum, Tse, Wong, </w:t>
      </w:r>
      <w:r>
        <w:rPr>
          <w:rFonts w:cstheme="minorHAnsi"/>
          <w:u w:val="single"/>
          <w:lang w:val="en-US"/>
        </w:rPr>
        <w:t>Kilarski</w:t>
      </w:r>
      <w:r>
        <w:rPr>
          <w:rFonts w:cstheme="minorHAnsi"/>
          <w:u w:val="single"/>
          <w:vertAlign w:val="superscript"/>
          <w:lang w:val="en-US"/>
        </w:rPr>
        <w:t xml:space="preserve"> </w:t>
      </w:r>
      <w:r>
        <w:rPr>
          <w:rFonts w:cstheme="minorHAnsi"/>
          <w:u w:val="single"/>
          <w:lang w:val="en-US"/>
        </w:rPr>
        <w:t>WW</w:t>
      </w:r>
      <w:r>
        <w:rPr>
          <w:rFonts w:cstheme="minorHAnsi"/>
          <w:lang w:val="en-US"/>
        </w:rPr>
        <w:t>, et al. &amp; Griffioen</w:t>
      </w:r>
      <w:r>
        <w:rPr>
          <w:rFonts w:cstheme="minorHAnsi"/>
          <w:vertAlign w:val="superscript"/>
          <w:lang w:val="en-US"/>
        </w:rPr>
        <w:t xml:space="preserve"> </w:t>
      </w:r>
      <w:r>
        <w:rPr>
          <w:rStyle w:val="gi"/>
          <w:rFonts w:cstheme="minorHAnsi"/>
          <w:lang w:val="en-US"/>
        </w:rPr>
        <w:t xml:space="preserve">AW (2015) </w:t>
      </w:r>
      <w:r>
        <w:rPr>
          <w:rStyle w:val="gi"/>
          <w:rFonts w:cstheme="minorHAnsi"/>
          <w:b/>
          <w:lang w:val="en-US"/>
        </w:rPr>
        <w:t>Cell Death Dis, IF 7.57</w:t>
      </w:r>
    </w:p>
    <w:p>
      <w:pPr>
        <w:spacing w:after="120"/>
        <w:ind w:left="432" w:hanging="432"/>
        <w:rPr>
          <w:rFonts w:cstheme="minorHAnsi"/>
          <w:lang w:val="en-US"/>
        </w:rPr>
      </w:pPr>
      <w:r>
        <w:rPr>
          <w:rStyle w:val="gi"/>
          <w:rFonts w:cstheme="minorHAnsi"/>
          <w:lang w:val="en-US"/>
        </w:rPr>
        <w:t>26.</w:t>
      </w:r>
      <w:r>
        <w:rPr>
          <w:rStyle w:val="gi"/>
          <w:rFonts w:cstheme="minorHAnsi"/>
          <w:b/>
          <w:bCs/>
          <w:vertAlign w:val="superscript"/>
          <w:lang w:val="en-US"/>
        </w:rPr>
        <w:t>Ω,</w:t>
      </w:r>
      <w:r>
        <w:rPr>
          <w:rFonts w:cstheme="minorHAnsi"/>
          <w:vertAlign w:val="superscript"/>
          <w:lang w:val="en-US"/>
        </w:rPr>
        <w:sym w:font="Wingdings" w:char="F02A"/>
      </w:r>
      <w:hyperlink r:id="rId37" w:history="1">
        <w:r>
          <w:rPr>
            <w:rStyle w:val="Hyperlink"/>
            <w:rFonts w:cstheme="minorHAnsi"/>
            <w:b/>
            <w:lang w:val="en-US"/>
          </w:rPr>
          <w:t>Long-term intravital immunofluorescence imaging of tissue matrix components with epifluorescence and two-photon microscopy</w:t>
        </w:r>
      </w:hyperlink>
      <w:r>
        <w:rPr>
          <w:rStyle w:val="Hyperlink"/>
          <w:rFonts w:cstheme="minorHAnsi"/>
          <w:b/>
          <w:lang w:val="en-US"/>
        </w:rPr>
        <w:t>.</w:t>
      </w:r>
      <w:r>
        <w:rPr>
          <w:rFonts w:cstheme="minorHAnsi"/>
          <w:lang w:val="en-US"/>
        </w:rPr>
        <w:t xml:space="preserve"> </w:t>
      </w:r>
      <w:r>
        <w:rPr>
          <w:rStyle w:val="gi"/>
          <w:rFonts w:cstheme="minorHAnsi"/>
          <w:lang w:val="en-US"/>
        </w:rPr>
        <w:t>Güç</w:t>
      </w:r>
      <w:r>
        <w:rPr>
          <w:rFonts w:cstheme="minorHAnsi"/>
          <w:lang w:val="en-US"/>
        </w:rPr>
        <w:t xml:space="preserve">, Fankhauser M, Lund, Swartz AM and </w:t>
      </w:r>
      <w:r>
        <w:rPr>
          <w:rFonts w:cstheme="minorHAnsi"/>
          <w:u w:val="single"/>
          <w:lang w:val="en-US"/>
        </w:rPr>
        <w:t>Kilarski WW</w:t>
      </w:r>
      <w:r>
        <w:rPr>
          <w:rFonts w:cstheme="minorHAnsi"/>
          <w:vertAlign w:val="superscript"/>
          <w:lang w:val="en-US"/>
        </w:rPr>
        <w:sym w:font="Wingdings" w:char="F02A"/>
      </w:r>
      <w:r>
        <w:rPr>
          <w:rFonts w:cstheme="minorHAnsi"/>
          <w:lang w:val="en-US"/>
        </w:rPr>
        <w:t xml:space="preserve"> (2014) </w:t>
      </w:r>
      <w:r>
        <w:rPr>
          <w:rFonts w:cstheme="minorHAnsi"/>
          <w:b/>
          <w:lang w:val="en-US"/>
        </w:rPr>
        <w:t>J Vis Exp</w:t>
      </w:r>
    </w:p>
    <w:p>
      <w:pPr>
        <w:spacing w:after="120"/>
        <w:ind w:left="432" w:hanging="432"/>
        <w:rPr>
          <w:rStyle w:val="gi"/>
          <w:rFonts w:cstheme="minorHAnsi"/>
          <w:b/>
          <w:lang w:val="en-US"/>
        </w:rPr>
      </w:pPr>
      <w:r>
        <w:rPr>
          <w:rStyle w:val="gi"/>
          <w:rFonts w:cstheme="minorHAnsi"/>
          <w:lang w:val="en-US"/>
        </w:rPr>
        <w:t>25.</w:t>
      </w:r>
      <w:r>
        <w:rPr>
          <w:rStyle w:val="gi"/>
          <w:rFonts w:cstheme="minorHAnsi"/>
          <w:lang w:val="en-US"/>
        </w:rPr>
        <w:tab/>
      </w:r>
      <w:hyperlink r:id="rId38" w:history="1">
        <w:r>
          <w:rPr>
            <w:rStyle w:val="Hyperlink"/>
            <w:rFonts w:cstheme="minorHAnsi"/>
            <w:b/>
            <w:lang w:val="en-US"/>
          </w:rPr>
          <w:t>Growth factors engineered for super-affinity to the extracellular matrix enhance tissue healing</w:t>
        </w:r>
      </w:hyperlink>
      <w:r>
        <w:rPr>
          <w:rStyle w:val="Hyperlink"/>
          <w:rFonts w:cstheme="minorHAnsi"/>
          <w:b/>
          <w:lang w:val="en-US"/>
        </w:rPr>
        <w:t xml:space="preserve">. </w:t>
      </w:r>
      <w:r>
        <w:rPr>
          <w:rStyle w:val="gi"/>
          <w:rFonts w:cstheme="minorHAnsi"/>
          <w:lang w:val="en-US"/>
        </w:rPr>
        <w:t>Martino, Briquez, Güç, Tortelli,</w:t>
      </w:r>
      <w:r>
        <w:rPr>
          <w:rStyle w:val="gi"/>
          <w:rFonts w:cstheme="minorHAnsi"/>
          <w:b/>
          <w:lang w:val="en-US"/>
        </w:rPr>
        <w:t xml:space="preserve"> </w:t>
      </w:r>
      <w:r>
        <w:rPr>
          <w:rStyle w:val="gi"/>
          <w:rFonts w:cstheme="minorHAnsi"/>
          <w:lang w:val="en-US"/>
        </w:rPr>
        <w:t xml:space="preserve">Kilarski WW, et al., Swartz MA and Hubbell JA (2014) </w:t>
      </w:r>
      <w:r>
        <w:rPr>
          <w:rStyle w:val="gi"/>
          <w:rFonts w:cstheme="minorHAnsi"/>
          <w:b/>
          <w:lang w:val="en-US"/>
        </w:rPr>
        <w:t>Science, IF – 41.846</w:t>
      </w:r>
    </w:p>
    <w:p>
      <w:pPr>
        <w:spacing w:after="120"/>
        <w:ind w:left="432" w:hanging="432"/>
        <w:rPr>
          <w:rStyle w:val="gi"/>
          <w:rFonts w:cstheme="minorHAnsi"/>
          <w:lang w:val="en-US"/>
        </w:rPr>
      </w:pPr>
      <w:r>
        <w:rPr>
          <w:rStyle w:val="gi"/>
          <w:rFonts w:cstheme="minorHAnsi"/>
          <w:lang w:val="en-US"/>
        </w:rPr>
        <w:t>24.</w:t>
      </w:r>
      <w:r>
        <w:rPr>
          <w:rStyle w:val="gi"/>
          <w:rFonts w:cstheme="minorHAnsi"/>
          <w:lang w:val="en-US"/>
        </w:rPr>
        <w:tab/>
      </w:r>
      <w:hyperlink r:id="rId39" w:history="1">
        <w:r>
          <w:rPr>
            <w:rStyle w:val="Hyperlink"/>
            <w:rFonts w:cstheme="minorHAnsi"/>
            <w:lang w:val="en-US"/>
          </w:rPr>
          <w:t>VEGFR-3 neutralization inhibits ovarian lymphangiogenesis, follicle maturation, and murine pregnancy</w:t>
        </w:r>
      </w:hyperlink>
      <w:r>
        <w:rPr>
          <w:rStyle w:val="Hyperlink"/>
          <w:rFonts w:cstheme="minorHAnsi"/>
          <w:lang w:val="en-US"/>
        </w:rPr>
        <w:t xml:space="preserve">. </w:t>
      </w:r>
      <w:r>
        <w:rPr>
          <w:rStyle w:val="gi"/>
          <w:rFonts w:cstheme="minorHAnsi"/>
          <w:lang w:val="en-US"/>
        </w:rPr>
        <w:t xml:space="preserve">Rutkowski, Ihm, Quazolla, Kilarski WW, Greenwood, Trono, Hubbell JA and Swartz MA (2013) </w:t>
      </w:r>
      <w:r>
        <w:rPr>
          <w:rStyle w:val="gi"/>
          <w:rFonts w:cstheme="minorHAnsi"/>
          <w:b/>
          <w:lang w:val="en-US"/>
        </w:rPr>
        <w:t xml:space="preserve">Am J Pathol, </w:t>
      </w:r>
      <w:r>
        <w:rPr>
          <w:rStyle w:val="gi"/>
          <w:rFonts w:cstheme="minorHAnsi"/>
          <w:bCs/>
          <w:lang w:val="en-US"/>
        </w:rPr>
        <w:t>5-year</w:t>
      </w:r>
      <w:r>
        <w:rPr>
          <w:rStyle w:val="gi"/>
          <w:rFonts w:cstheme="minorHAnsi"/>
          <w:b/>
          <w:lang w:val="en-US"/>
        </w:rPr>
        <w:t xml:space="preserve"> IF 4.227</w:t>
      </w:r>
    </w:p>
    <w:p>
      <w:pPr>
        <w:spacing w:after="120"/>
        <w:ind w:left="432" w:hanging="432"/>
        <w:rPr>
          <w:rFonts w:cstheme="minorHAnsi"/>
          <w:lang w:val="pl-PL"/>
        </w:rPr>
      </w:pPr>
      <w:r>
        <w:rPr>
          <w:rFonts w:cstheme="minorHAnsi"/>
          <w:lang w:val="en-US"/>
        </w:rPr>
        <w:t>23.</w:t>
      </w:r>
      <w:r>
        <w:rPr>
          <w:rFonts w:cstheme="minorHAnsi"/>
          <w:b/>
          <w:bCs/>
          <w:color w:val="595959" w:themeColor="text1" w:themeTint="A6"/>
          <w:vertAlign w:val="superscript"/>
          <w:rtl/>
          <w:lang w:val="en-US" w:bidi="he-IL"/>
        </w:rPr>
        <w:t>א</w:t>
      </w:r>
      <w:r>
        <w:rPr>
          <w:rFonts w:cstheme="minorHAnsi"/>
          <w:vertAlign w:val="superscript"/>
          <w:lang w:val="en-US"/>
        </w:rPr>
        <w:t>,</w:t>
      </w:r>
      <w:r>
        <w:rPr>
          <w:rFonts w:cstheme="minorHAnsi"/>
          <w:vertAlign w:val="superscript"/>
          <w:lang w:val="en-US"/>
        </w:rPr>
        <w:sym w:font="Wingdings" w:char="F02A"/>
      </w:r>
      <w:hyperlink r:id="rId40" w:history="1">
        <w:r>
          <w:rPr>
            <w:rStyle w:val="Hyperlink"/>
            <w:rFonts w:cstheme="minorHAnsi"/>
            <w:b/>
            <w:lang w:val="en-US"/>
          </w:rPr>
          <w:t>Optimization and regeneration kinetics of lymphatic-specific photodynamic therapy in the mouse dermis</w:t>
        </w:r>
      </w:hyperlink>
      <w:r>
        <w:rPr>
          <w:rStyle w:val="Hyperlink"/>
          <w:rFonts w:cstheme="minorHAnsi"/>
          <w:b/>
          <w:lang w:val="en-US"/>
        </w:rPr>
        <w:t xml:space="preserve">. </w:t>
      </w:r>
      <w:r>
        <w:rPr>
          <w:rFonts w:cstheme="minorHAnsi"/>
          <w:u w:val="single"/>
          <w:lang w:val="pl-PL"/>
        </w:rPr>
        <w:t>Kilarski WW</w:t>
      </w:r>
      <w:r>
        <w:rPr>
          <w:rFonts w:cstheme="minorHAnsi"/>
          <w:vertAlign w:val="superscript"/>
          <w:lang w:val="en-US"/>
        </w:rPr>
        <w:sym w:font="Wingdings" w:char="F02A"/>
      </w:r>
      <w:r>
        <w:rPr>
          <w:rFonts w:cstheme="minorHAnsi"/>
          <w:lang w:val="pl-PL"/>
        </w:rPr>
        <w:t xml:space="preserve">, </w:t>
      </w:r>
      <w:r>
        <w:rPr>
          <w:rFonts w:cstheme="minorHAnsi"/>
          <w:spacing w:val="-6"/>
          <w:lang w:val="pl-PL"/>
        </w:rPr>
        <w:t xml:space="preserve">Muchowicz, Wachowska, Mężyk-Kopeć, Gołąb J, Swartz MA &amp; </w:t>
      </w:r>
      <w:r>
        <w:rPr>
          <w:rFonts w:cstheme="minorHAnsi"/>
          <w:spacing w:val="-2"/>
          <w:lang w:val="pl-PL"/>
        </w:rPr>
        <w:t>Nowak-Śliwińska</w:t>
      </w:r>
      <w:r>
        <w:rPr>
          <w:rFonts w:cstheme="minorHAnsi"/>
          <w:spacing w:val="-2"/>
          <w:vertAlign w:val="superscript"/>
          <w:lang w:val="en-US"/>
        </w:rPr>
        <w:sym w:font="Wingdings" w:char="F02A"/>
      </w:r>
      <w:r>
        <w:rPr>
          <w:rFonts w:cstheme="minorHAnsi"/>
          <w:spacing w:val="-2"/>
          <w:lang w:val="pl-PL"/>
        </w:rPr>
        <w:t>(2014)</w:t>
      </w:r>
      <w:r>
        <w:rPr>
          <w:rFonts w:cstheme="minorHAnsi"/>
          <w:spacing w:val="-6"/>
          <w:lang w:val="pl-PL"/>
        </w:rPr>
        <w:t xml:space="preserve"> </w:t>
      </w:r>
      <w:r>
        <w:rPr>
          <w:rFonts w:cstheme="minorHAnsi"/>
          <w:b/>
          <w:lang w:val="pl-PL"/>
        </w:rPr>
        <w:t>Angiogenesis, IF – 9.78</w:t>
      </w:r>
    </w:p>
    <w:p>
      <w:pPr>
        <w:spacing w:after="120"/>
        <w:ind w:left="432" w:hanging="432"/>
        <w:rPr>
          <w:rFonts w:cstheme="minorHAnsi"/>
          <w:spacing w:val="-6"/>
          <w:lang w:val="en-US"/>
        </w:rPr>
      </w:pPr>
      <w:r>
        <w:rPr>
          <w:rFonts w:cstheme="minorHAnsi"/>
          <w:noProof/>
          <w:lang w:val="en-US"/>
        </w:rPr>
        <w:t>22.</w:t>
      </w:r>
      <w:r>
        <w:rPr>
          <w:rFonts w:cstheme="minorHAnsi"/>
          <w:b/>
          <w:bCs/>
          <w:noProof/>
          <w:color w:val="595959" w:themeColor="text1" w:themeTint="A6"/>
          <w:vertAlign w:val="superscript"/>
          <w:rtl/>
          <w:lang w:val="en-US" w:bidi="he-IL"/>
        </w:rPr>
        <w:t>א</w:t>
      </w:r>
      <w:hyperlink r:id="rId41" w:history="1">
        <w:r>
          <w:rPr>
            <w:rStyle w:val="Hyperlink"/>
            <w:rFonts w:cstheme="minorHAnsi"/>
            <w:noProof/>
            <w:spacing w:val="-2"/>
            <w:lang w:val="en-US"/>
          </w:rPr>
          <w:t>Mapping the extracellular and membrane proteome associated with the vasculature of the embryo</w:t>
        </w:r>
      </w:hyperlink>
      <w:r>
        <w:rPr>
          <w:rStyle w:val="Hyperlink"/>
          <w:rFonts w:cstheme="minorHAnsi"/>
          <w:noProof/>
          <w:spacing w:val="-6"/>
          <w:lang w:val="en-US"/>
        </w:rPr>
        <w:t>.</w:t>
      </w:r>
      <w:r>
        <w:rPr>
          <w:rStyle w:val="Hyperlink"/>
          <w:rFonts w:cstheme="minorHAnsi"/>
          <w:spacing w:val="-6"/>
          <w:lang w:val="en-US"/>
        </w:rPr>
        <w:t xml:space="preserve"> </w:t>
      </w:r>
      <w:r>
        <w:rPr>
          <w:rFonts w:cstheme="minorHAnsi"/>
          <w:spacing w:val="-6"/>
          <w:lang w:val="en-US"/>
        </w:rPr>
        <w:t>Soulet</w:t>
      </w:r>
      <w:r>
        <w:rPr>
          <w:rFonts w:cstheme="minorHAnsi"/>
          <w:spacing w:val="-6"/>
          <w:vertAlign w:val="superscript"/>
          <w:lang w:val="en-US"/>
        </w:rPr>
        <w:sym w:font="Wingdings" w:char="F061"/>
      </w:r>
      <w:r>
        <w:rPr>
          <w:rFonts w:cstheme="minorHAnsi"/>
          <w:spacing w:val="-6"/>
          <w:lang w:val="en-US"/>
        </w:rPr>
        <w:t>,</w:t>
      </w:r>
      <w:r>
        <w:rPr>
          <w:rFonts w:cstheme="minorHAnsi"/>
          <w:b/>
          <w:spacing w:val="-6"/>
          <w:lang w:val="en-US"/>
        </w:rPr>
        <w:t xml:space="preserve"> </w:t>
      </w:r>
      <w:r>
        <w:rPr>
          <w:rFonts w:cstheme="minorHAnsi"/>
          <w:spacing w:val="-6"/>
          <w:u w:val="single"/>
          <w:lang w:val="en-US"/>
        </w:rPr>
        <w:t>Kilarski WW</w:t>
      </w:r>
      <w:r>
        <w:rPr>
          <w:rFonts w:cstheme="minorHAnsi"/>
          <w:spacing w:val="-6"/>
          <w:vertAlign w:val="superscript"/>
          <w:lang w:val="en-US"/>
        </w:rPr>
        <w:sym w:font="Wingdings" w:char="F061"/>
      </w:r>
      <w:r>
        <w:rPr>
          <w:rFonts w:cstheme="minorHAnsi"/>
          <w:spacing w:val="-6"/>
          <w:lang w:val="en-US"/>
        </w:rPr>
        <w:t>,</w:t>
      </w:r>
      <w:r>
        <w:rPr>
          <w:rStyle w:val="gi"/>
          <w:rFonts w:cstheme="minorHAnsi"/>
          <w:spacing w:val="-6"/>
          <w:lang w:val="en-US"/>
        </w:rPr>
        <w:t xml:space="preserve"> </w:t>
      </w:r>
      <w:r>
        <w:rPr>
          <w:rStyle w:val="gi"/>
          <w:rFonts w:cstheme="minorHAnsi"/>
          <w:spacing w:val="-10"/>
          <w:lang w:val="en-US"/>
        </w:rPr>
        <w:t>Roux-Dalvai</w:t>
      </w:r>
      <w:r>
        <w:rPr>
          <w:rFonts w:cstheme="minorHAnsi"/>
          <w:spacing w:val="-10"/>
          <w:vertAlign w:val="superscript"/>
          <w:lang w:val="en-US"/>
        </w:rPr>
        <w:sym w:font="Wingdings" w:char="F061"/>
      </w:r>
      <w:r>
        <w:rPr>
          <w:rStyle w:val="gi"/>
          <w:rFonts w:cstheme="minorHAnsi"/>
          <w:spacing w:val="-10"/>
          <w:lang w:val="en-US"/>
        </w:rPr>
        <w:t>, Herbert</w:t>
      </w:r>
      <w:r>
        <w:rPr>
          <w:rFonts w:cstheme="minorHAnsi"/>
          <w:spacing w:val="-10"/>
          <w:vertAlign w:val="superscript"/>
          <w:lang w:val="en-US"/>
        </w:rPr>
        <w:sym w:font="Wingdings" w:char="F061"/>
      </w:r>
      <w:r>
        <w:rPr>
          <w:rStyle w:val="gi"/>
          <w:rFonts w:cstheme="minorHAnsi"/>
          <w:spacing w:val="-10"/>
          <w:lang w:val="en-US"/>
        </w:rPr>
        <w:t xml:space="preserve">, et al. &amp; Bikfalvi A </w:t>
      </w:r>
      <w:r>
        <w:rPr>
          <w:rFonts w:cstheme="minorHAnsi"/>
          <w:spacing w:val="-10"/>
          <w:lang w:val="en-US"/>
        </w:rPr>
        <w:t xml:space="preserve">(2013) </w:t>
      </w:r>
      <w:r>
        <w:rPr>
          <w:rStyle w:val="gi"/>
          <w:rFonts w:cstheme="minorHAnsi"/>
          <w:b/>
          <w:spacing w:val="-6"/>
          <w:lang w:val="en-US"/>
        </w:rPr>
        <w:t>Mol Cell Proteomics, IF – 4.87</w:t>
      </w:r>
    </w:p>
    <w:p>
      <w:pPr>
        <w:spacing w:after="120"/>
        <w:ind w:left="432" w:hanging="432"/>
        <w:rPr>
          <w:rFonts w:cstheme="minorHAnsi"/>
          <w:lang w:val="en-US"/>
        </w:rPr>
      </w:pPr>
      <w:bookmarkStart w:id="19" w:name="_Ref348193315"/>
      <w:r>
        <w:rPr>
          <w:rFonts w:cstheme="minorHAnsi"/>
          <w:lang w:val="en-US"/>
        </w:rPr>
        <w:t>21.</w:t>
      </w:r>
      <w:r>
        <w:rPr>
          <w:rFonts w:cstheme="minorHAnsi"/>
          <w:bCs/>
          <w:vertAlign w:val="superscript"/>
          <w:rtl/>
          <w:lang w:val="en-US" w:bidi="he-IL"/>
        </w:rPr>
        <w:t>א</w:t>
      </w:r>
      <w:hyperlink r:id="rId42" w:history="1">
        <w:r>
          <w:rPr>
            <w:rStyle w:val="Hyperlink"/>
            <w:rFonts w:cstheme="minorHAnsi"/>
            <w:b/>
            <w:vertAlign w:val="superscript"/>
            <w:lang w:val="en-US"/>
          </w:rPr>
          <w:t>,</w:t>
        </w:r>
        <w:r>
          <w:rPr>
            <w:rFonts w:cstheme="minorHAnsi"/>
            <w:vertAlign w:val="superscript"/>
            <w:lang w:val="en-US"/>
          </w:rPr>
          <w:sym w:font="Wingdings" w:char="F02A"/>
        </w:r>
        <w:r>
          <w:rPr>
            <w:rStyle w:val="Hyperlink"/>
            <w:rFonts w:cstheme="minorHAnsi"/>
            <w:b/>
            <w:lang w:val="en-US"/>
          </w:rPr>
          <w:t>Intravital immunofluorescence for visualizing the microcirculatory and immune microenvironments in the mouse ear dermis</w:t>
        </w:r>
      </w:hyperlink>
      <w:r>
        <w:rPr>
          <w:rStyle w:val="Hyperlink"/>
          <w:rFonts w:cstheme="minorHAnsi"/>
          <w:b/>
          <w:lang w:val="en-US"/>
        </w:rPr>
        <w:t xml:space="preserve">. </w:t>
      </w:r>
      <w:r>
        <w:rPr>
          <w:rFonts w:cstheme="minorHAnsi"/>
          <w:u w:val="single"/>
          <w:lang w:val="en-US"/>
        </w:rPr>
        <w:t>Kilarski WW</w:t>
      </w:r>
      <w:r>
        <w:rPr>
          <w:rFonts w:cstheme="minorHAnsi"/>
          <w:vertAlign w:val="superscript"/>
          <w:lang w:val="en-US"/>
        </w:rPr>
        <w:sym w:font="Wingdings" w:char="F02A"/>
      </w:r>
      <w:r>
        <w:rPr>
          <w:rFonts w:cstheme="minorHAnsi"/>
          <w:lang w:val="en-US"/>
        </w:rPr>
        <w:t xml:space="preserve">, </w:t>
      </w:r>
      <w:r>
        <w:rPr>
          <w:rStyle w:val="gi"/>
          <w:rFonts w:cstheme="minorHAnsi"/>
          <w:lang w:val="en-US"/>
        </w:rPr>
        <w:t>Güç</w:t>
      </w:r>
      <w:r>
        <w:rPr>
          <w:rFonts w:cstheme="minorHAnsi"/>
          <w:lang w:val="en-US"/>
        </w:rPr>
        <w:t>, Teo, Oliver, Lund, Swartz MA</w:t>
      </w:r>
      <w:r>
        <w:rPr>
          <w:rFonts w:cstheme="minorHAnsi"/>
          <w:vertAlign w:val="superscript"/>
          <w:lang w:val="en-US"/>
        </w:rPr>
        <w:sym w:font="Wingdings" w:char="F02A"/>
      </w:r>
      <w:r>
        <w:rPr>
          <w:rFonts w:cstheme="minorHAnsi"/>
          <w:lang w:val="en-US"/>
        </w:rPr>
        <w:t xml:space="preserve"> (2013) </w:t>
      </w:r>
      <w:r>
        <w:rPr>
          <w:rFonts w:cstheme="minorHAnsi"/>
          <w:b/>
          <w:noProof/>
          <w:lang w:val="en-US"/>
        </w:rPr>
        <w:t>PLOS</w:t>
      </w:r>
      <w:r>
        <w:rPr>
          <w:rFonts w:cstheme="minorHAnsi"/>
          <w:b/>
          <w:lang w:val="en-US"/>
        </w:rPr>
        <w:t xml:space="preserve"> ONE</w:t>
      </w:r>
      <w:bookmarkEnd w:id="19"/>
      <w:r>
        <w:rPr>
          <w:rFonts w:cstheme="minorHAnsi"/>
          <w:b/>
          <w:lang w:val="en-US"/>
        </w:rPr>
        <w:t xml:space="preserve">, </w:t>
      </w:r>
      <w:r>
        <w:rPr>
          <w:rFonts w:cstheme="minorHAnsi"/>
          <w:color w:val="222222"/>
          <w:shd w:val="clear" w:color="auto" w:fill="FFFFFF"/>
          <w:lang w:val="en-US"/>
        </w:rPr>
        <w:t>5-year</w:t>
      </w:r>
      <w:r>
        <w:rPr>
          <w:rFonts w:cstheme="minorHAnsi"/>
          <w:b/>
          <w:lang w:val="en-US"/>
        </w:rPr>
        <w:t xml:space="preserve"> IF - 3.1</w:t>
      </w:r>
    </w:p>
    <w:p>
      <w:pPr>
        <w:spacing w:after="120"/>
        <w:ind w:left="432" w:hanging="432"/>
        <w:rPr>
          <w:rFonts w:cstheme="minorHAnsi"/>
          <w:lang w:val="en-US"/>
        </w:rPr>
      </w:pPr>
      <w:r>
        <w:rPr>
          <w:rFonts w:cstheme="minorHAnsi"/>
          <w:lang w:val="en-US"/>
        </w:rPr>
        <w:t>20.</w:t>
      </w:r>
      <w:r>
        <w:rPr>
          <w:rFonts w:cstheme="minorHAnsi"/>
          <w:lang w:val="en-US"/>
        </w:rPr>
        <w:tab/>
      </w:r>
      <w:hyperlink r:id="rId43" w:history="1">
        <w:r>
          <w:rPr>
            <w:rStyle w:val="Hyperlink"/>
            <w:rFonts w:cstheme="minorHAnsi"/>
            <w:lang w:val="en-US"/>
          </w:rPr>
          <w:t>The experimental renal cell carcinoma model in the chick embryo</w:t>
        </w:r>
      </w:hyperlink>
      <w:r>
        <w:rPr>
          <w:rStyle w:val="Hyperlink"/>
          <w:rFonts w:cstheme="minorHAnsi"/>
          <w:lang w:val="en-US"/>
        </w:rPr>
        <w:t xml:space="preserve">. </w:t>
      </w:r>
      <w:r>
        <w:rPr>
          <w:rFonts w:cstheme="minorHAnsi"/>
          <w:lang w:val="en-US"/>
        </w:rPr>
        <w:t xml:space="preserve">Fergelot, Bernhardt, Soulet, </w:t>
      </w:r>
      <w:r>
        <w:rPr>
          <w:rFonts w:cstheme="minorHAnsi"/>
          <w:u w:val="single"/>
          <w:lang w:val="en-US"/>
        </w:rPr>
        <w:t>Kilarski WW</w:t>
      </w:r>
      <w:r>
        <w:rPr>
          <w:rFonts w:cstheme="minorHAnsi"/>
          <w:lang w:val="en-US"/>
        </w:rPr>
        <w:t xml:space="preserve">,  et al. &amp; Bikfalvi A (2013) </w:t>
      </w:r>
      <w:bookmarkStart w:id="20" w:name="_Hlk509447959"/>
      <w:r>
        <w:rPr>
          <w:rFonts w:cstheme="minorHAnsi"/>
          <w:b/>
          <w:lang w:val="en-US"/>
        </w:rPr>
        <w:t>Angiogenesis</w:t>
      </w:r>
      <w:bookmarkEnd w:id="20"/>
      <w:r>
        <w:rPr>
          <w:rFonts w:cstheme="minorHAnsi"/>
          <w:b/>
          <w:lang w:val="en-US"/>
        </w:rPr>
        <w:t>, IF – 9.78</w:t>
      </w:r>
    </w:p>
    <w:p>
      <w:pPr>
        <w:spacing w:after="120"/>
        <w:ind w:left="432" w:hanging="432"/>
        <w:rPr>
          <w:rStyle w:val="bold"/>
          <w:rFonts w:cstheme="minorHAnsi"/>
          <w:lang w:val="en-US"/>
        </w:rPr>
      </w:pPr>
      <w:r>
        <w:rPr>
          <w:rStyle w:val="bold"/>
          <w:rFonts w:cstheme="minorHAnsi"/>
          <w:lang w:val="en-US"/>
        </w:rPr>
        <w:t>19.</w:t>
      </w:r>
      <w:r>
        <w:rPr>
          <w:rStyle w:val="bold"/>
          <w:rFonts w:cstheme="minorHAnsi"/>
          <w:b/>
          <w:bCs/>
          <w:color w:val="595959" w:themeColor="text1" w:themeTint="A6"/>
          <w:vertAlign w:val="superscript"/>
          <w:rtl/>
          <w:lang w:val="en-US" w:bidi="he-IL"/>
        </w:rPr>
        <w:t>א</w:t>
      </w:r>
      <w:hyperlink r:id="rId44" w:history="1">
        <w:r>
          <w:rPr>
            <w:rStyle w:val="Hyperlink"/>
            <w:rFonts w:cstheme="minorHAnsi"/>
            <w:b/>
            <w:vertAlign w:val="superscript"/>
            <w:lang w:val="en-US"/>
          </w:rPr>
          <w:t>,</w:t>
        </w:r>
        <w:r>
          <w:rPr>
            <w:rFonts w:cstheme="minorHAnsi"/>
            <w:b/>
            <w:vertAlign w:val="superscript"/>
            <w:lang w:val="en-US"/>
          </w:rPr>
          <w:sym w:font="Wingdings" w:char="F02A"/>
        </w:r>
        <w:r>
          <w:rPr>
            <w:rStyle w:val="Hyperlink"/>
            <w:rFonts w:cstheme="minorHAnsi"/>
            <w:b/>
            <w:lang w:val="en-US"/>
          </w:rPr>
          <w:t xml:space="preserve">An </w:t>
        </w:r>
        <w:r>
          <w:rPr>
            <w:rStyle w:val="Hyperlink"/>
            <w:rFonts w:cstheme="minorHAnsi"/>
            <w:b/>
            <w:i/>
            <w:lang w:val="en-US"/>
          </w:rPr>
          <w:t>in vivo</w:t>
        </w:r>
        <w:r>
          <w:rPr>
            <w:rStyle w:val="Hyperlink"/>
            <w:rFonts w:cstheme="minorHAnsi"/>
            <w:b/>
            <w:lang w:val="en-US"/>
          </w:rPr>
          <w:t xml:space="preserve"> neovascularization assay for screening regulators of angiogenesis and assessing their effects on pre-existing vessels</w:t>
        </w:r>
      </w:hyperlink>
      <w:r>
        <w:rPr>
          <w:rStyle w:val="Hyperlink"/>
          <w:rFonts w:cstheme="minorHAnsi"/>
          <w:b/>
          <w:lang w:val="en-US"/>
        </w:rPr>
        <w:t xml:space="preserve">. </w:t>
      </w:r>
      <w:r>
        <w:rPr>
          <w:rStyle w:val="bold"/>
          <w:rFonts w:cstheme="minorHAnsi"/>
          <w:u w:val="single"/>
          <w:lang w:val="en-US"/>
        </w:rPr>
        <w:t>Kilarski WW</w:t>
      </w:r>
      <w:r>
        <w:rPr>
          <w:rFonts w:cstheme="minorHAnsi"/>
          <w:vertAlign w:val="superscript"/>
          <w:lang w:val="en-US"/>
        </w:rPr>
        <w:sym w:font="Wingdings" w:char="F02A"/>
      </w:r>
      <w:r>
        <w:rPr>
          <w:rStyle w:val="bold"/>
          <w:rFonts w:cstheme="minorHAnsi"/>
          <w:b/>
          <w:lang w:val="en-US"/>
        </w:rPr>
        <w:t xml:space="preserve">, </w:t>
      </w:r>
      <w:r>
        <w:rPr>
          <w:rFonts w:cstheme="minorHAnsi"/>
          <w:lang w:val="en-US"/>
        </w:rPr>
        <w:t>Petersson, Fuchs, Zielinski, Gerwins P</w:t>
      </w:r>
      <w:r>
        <w:rPr>
          <w:rFonts w:cstheme="minorHAnsi"/>
          <w:vertAlign w:val="superscript"/>
          <w:lang w:val="en-US"/>
        </w:rPr>
        <w:sym w:font="Wingdings" w:char="F02A"/>
      </w:r>
      <w:r>
        <w:rPr>
          <w:rStyle w:val="bold"/>
          <w:rFonts w:cstheme="minorHAnsi"/>
          <w:lang w:val="en-US"/>
        </w:rPr>
        <w:t xml:space="preserve"> (2012) </w:t>
      </w:r>
      <w:r>
        <w:rPr>
          <w:rStyle w:val="bold"/>
          <w:rFonts w:cstheme="minorHAnsi"/>
          <w:b/>
          <w:lang w:val="en-US"/>
        </w:rPr>
        <w:t xml:space="preserve">Angiogenesis, </w:t>
      </w:r>
      <w:r>
        <w:rPr>
          <w:rFonts w:cstheme="minorHAnsi"/>
          <w:b/>
          <w:lang w:val="en-US"/>
        </w:rPr>
        <w:t>IF – 9.78</w:t>
      </w:r>
    </w:p>
    <w:p>
      <w:pPr>
        <w:spacing w:after="120"/>
        <w:ind w:left="432" w:hanging="432"/>
        <w:rPr>
          <w:rFonts w:cstheme="minorHAnsi"/>
          <w:lang w:val="en-US"/>
        </w:rPr>
      </w:pPr>
      <w:r>
        <w:rPr>
          <w:rFonts w:cstheme="minorHAnsi"/>
          <w:lang w:val="en-US"/>
        </w:rPr>
        <w:t>18.</w:t>
      </w:r>
      <w:r>
        <w:rPr>
          <w:rFonts w:cstheme="minorHAnsi"/>
          <w:lang w:val="en-US"/>
        </w:rPr>
        <w:tab/>
      </w:r>
      <w:hyperlink r:id="rId45" w:history="1">
        <w:r>
          <w:rPr>
            <w:rStyle w:val="Hyperlink"/>
            <w:rFonts w:cstheme="minorHAnsi"/>
            <w:lang w:val="en-US"/>
          </w:rPr>
          <w:t xml:space="preserve">First quantitative imaging of organic fluorine within angiogenic tissues by </w:t>
        </w:r>
        <w:r>
          <w:rPr>
            <w:rStyle w:val="Hyperlink"/>
            <w:rFonts w:cstheme="minorHAnsi"/>
            <w:noProof/>
            <w:lang w:val="en-US"/>
          </w:rPr>
          <w:t>particle-induced</w:t>
        </w:r>
        <w:r>
          <w:rPr>
            <w:rStyle w:val="Hyperlink"/>
            <w:rFonts w:cstheme="minorHAnsi"/>
            <w:lang w:val="en-US"/>
          </w:rPr>
          <w:t xml:space="preserve"> gamma-ray emission (PIGE)</w:t>
        </w:r>
      </w:hyperlink>
      <w:r>
        <w:rPr>
          <w:rStyle w:val="Hyperlink"/>
          <w:rFonts w:cstheme="minorHAnsi"/>
          <w:lang w:val="en-US"/>
        </w:rPr>
        <w:t xml:space="preserve">. </w:t>
      </w:r>
      <w:r>
        <w:rPr>
          <w:rFonts w:cstheme="minorHAnsi"/>
          <w:lang w:val="en-US"/>
        </w:rPr>
        <w:t xml:space="preserve">Lavielle, Gionnet, Ortega, </w:t>
      </w:r>
      <w:r>
        <w:rPr>
          <w:rFonts w:cstheme="minorHAnsi"/>
          <w:noProof/>
          <w:lang w:val="en-US"/>
        </w:rPr>
        <w:t>Deves</w:t>
      </w:r>
      <w:r>
        <w:rPr>
          <w:rFonts w:cstheme="minorHAnsi"/>
          <w:lang w:val="en-US"/>
        </w:rPr>
        <w:t xml:space="preserve">, </w:t>
      </w:r>
      <w:r>
        <w:rPr>
          <w:rFonts w:cstheme="minorHAnsi"/>
          <w:u w:val="single"/>
          <w:lang w:val="en-US"/>
        </w:rPr>
        <w:t>Kilarski V</w:t>
      </w:r>
      <w:r>
        <w:rPr>
          <w:rFonts w:cstheme="minorHAnsi"/>
          <w:b/>
          <w:lang w:val="en-US"/>
        </w:rPr>
        <w:t>,</w:t>
      </w:r>
      <w:r>
        <w:rPr>
          <w:rFonts w:cstheme="minorHAnsi"/>
          <w:lang w:val="en-US"/>
        </w:rPr>
        <w:t xml:space="preserve"> Wehbe, Bikfalvi, Deleris G (2011) </w:t>
      </w:r>
      <w:r>
        <w:rPr>
          <w:rFonts w:cstheme="minorHAnsi"/>
          <w:b/>
          <w:lang w:val="en-US"/>
        </w:rPr>
        <w:t>Pharmaceutics, IF – 6.07</w:t>
      </w:r>
    </w:p>
    <w:p>
      <w:pPr>
        <w:tabs>
          <w:tab w:val="left" w:pos="270"/>
        </w:tabs>
        <w:spacing w:after="120"/>
        <w:ind w:left="450" w:hanging="450"/>
        <w:rPr>
          <w:rStyle w:val="bold"/>
          <w:rFonts w:cstheme="minorHAnsi"/>
          <w:lang w:val="en-US"/>
        </w:rPr>
      </w:pPr>
      <w:r>
        <w:rPr>
          <w:rStyle w:val="bold"/>
          <w:rFonts w:cstheme="minorHAnsi"/>
          <w:lang w:val="en-US"/>
        </w:rPr>
        <w:t>17</w:t>
      </w:r>
      <w:r>
        <w:rPr>
          <w:rStyle w:val="bold"/>
          <w:rFonts w:cstheme="minorHAnsi"/>
          <w:lang w:val="en-US"/>
        </w:rPr>
        <w:tab/>
        <w:t>.</w:t>
      </w:r>
      <w:r>
        <w:rPr>
          <w:rFonts w:cstheme="minorHAnsi"/>
          <w:b/>
          <w:bCs/>
          <w:i/>
          <w:iCs/>
          <w:color w:val="595959" w:themeColor="text1" w:themeTint="A6"/>
          <w:vertAlign w:val="superscript"/>
          <w:rtl/>
          <w:lang w:val="en-US" w:bidi="he-IL"/>
        </w:rPr>
        <w:t>א</w:t>
      </w:r>
      <w:hyperlink r:id="rId46" w:history="1">
        <w:r>
          <w:rPr>
            <w:rStyle w:val="Hyperlink"/>
            <w:rFonts w:cstheme="minorHAnsi"/>
            <w:lang w:val="en-US"/>
          </w:rPr>
          <w:t>Gene signatures in wound tissue as evidenced by molecular profiling in the chick embryo model</w:t>
        </w:r>
      </w:hyperlink>
      <w:r>
        <w:rPr>
          <w:rStyle w:val="Hyperlink"/>
          <w:rFonts w:cstheme="minorHAnsi"/>
          <w:lang w:val="en-US"/>
        </w:rPr>
        <w:t xml:space="preserve">. </w:t>
      </w:r>
      <w:r>
        <w:rPr>
          <w:rStyle w:val="bold"/>
          <w:rFonts w:cstheme="minorHAnsi"/>
          <w:lang w:val="en-US"/>
        </w:rPr>
        <w:t>Soulet</w:t>
      </w:r>
      <w:r>
        <w:rPr>
          <w:rFonts w:cstheme="minorHAnsi"/>
          <w:vertAlign w:val="superscript"/>
          <w:lang w:val="en-US"/>
        </w:rPr>
        <w:sym w:font="Wingdings" w:char="F061"/>
      </w:r>
      <w:r>
        <w:rPr>
          <w:rStyle w:val="bold"/>
          <w:rFonts w:cstheme="minorHAnsi"/>
          <w:lang w:val="en-US"/>
        </w:rPr>
        <w:t xml:space="preserve">, </w:t>
      </w:r>
      <w:r>
        <w:rPr>
          <w:rStyle w:val="bold"/>
          <w:rFonts w:cstheme="minorHAnsi"/>
          <w:u w:val="single"/>
          <w:lang w:val="en-US"/>
        </w:rPr>
        <w:t>Kilarski WW</w:t>
      </w:r>
      <w:r>
        <w:rPr>
          <w:rFonts w:cstheme="minorHAnsi"/>
          <w:vertAlign w:val="superscript"/>
          <w:lang w:val="en-US"/>
        </w:rPr>
        <w:sym w:font="Wingdings" w:char="F061"/>
      </w:r>
      <w:r>
        <w:rPr>
          <w:rStyle w:val="bold"/>
          <w:rFonts w:cstheme="minorHAnsi"/>
          <w:lang w:val="en-US"/>
        </w:rPr>
        <w:t>, Antczak</w:t>
      </w:r>
      <w:r>
        <w:rPr>
          <w:rFonts w:cstheme="minorHAnsi"/>
          <w:vertAlign w:val="superscript"/>
          <w:lang w:val="en-US"/>
        </w:rPr>
        <w:sym w:font="Wingdings" w:char="F061"/>
      </w:r>
      <w:r>
        <w:rPr>
          <w:rStyle w:val="bold"/>
          <w:rFonts w:cstheme="minorHAnsi"/>
          <w:lang w:val="en-US"/>
        </w:rPr>
        <w:t xml:space="preserve">, Herbert, Bicknell, Falciani, Bikfalvi A (2010) </w:t>
      </w:r>
      <w:r>
        <w:rPr>
          <w:rStyle w:val="bold"/>
          <w:rFonts w:cstheme="minorHAnsi"/>
          <w:b/>
          <w:lang w:val="en-US"/>
        </w:rPr>
        <w:t xml:space="preserve">BMC Genomics, </w:t>
      </w:r>
      <w:r>
        <w:rPr>
          <w:rStyle w:val="bold"/>
          <w:rFonts w:cstheme="minorHAnsi"/>
          <w:bCs/>
          <w:lang w:val="en-US"/>
        </w:rPr>
        <w:t>5-year</w:t>
      </w:r>
      <w:r>
        <w:rPr>
          <w:rStyle w:val="bold"/>
          <w:rFonts w:cstheme="minorHAnsi"/>
          <w:b/>
          <w:lang w:val="en-US"/>
        </w:rPr>
        <w:t xml:space="preserve"> IF – 3.8</w:t>
      </w:r>
    </w:p>
    <w:p>
      <w:pPr>
        <w:tabs>
          <w:tab w:val="left" w:pos="450"/>
        </w:tabs>
        <w:spacing w:after="120"/>
        <w:ind w:left="450" w:hanging="450"/>
        <w:rPr>
          <w:rStyle w:val="bold"/>
          <w:rFonts w:cstheme="minorHAnsi"/>
          <w:b/>
          <w:spacing w:val="-6"/>
          <w:lang w:val="en-US"/>
        </w:rPr>
      </w:pPr>
      <w:r>
        <w:rPr>
          <w:rStyle w:val="bold"/>
          <w:rFonts w:cstheme="minorHAnsi"/>
          <w:spacing w:val="-12"/>
          <w:lang w:val="en-US"/>
        </w:rPr>
        <w:t>16.</w:t>
      </w:r>
      <w:r>
        <w:rPr>
          <w:rStyle w:val="bold"/>
          <w:rFonts w:cstheme="minorHAnsi"/>
          <w:spacing w:val="-12"/>
          <w:lang w:val="en-US"/>
        </w:rPr>
        <w:tab/>
      </w:r>
      <w:hyperlink r:id="rId47" w:history="1">
        <w:r>
          <w:rPr>
            <w:rStyle w:val="Hyperlink"/>
            <w:rFonts w:cstheme="minorHAnsi"/>
            <w:spacing w:val="-6"/>
            <w:lang w:val="en-US"/>
          </w:rPr>
          <w:t>A combined metabolomic and transcriptomic approach to investigate metabolism during development in the chick chorioallantoic membrane</w:t>
        </w:r>
      </w:hyperlink>
      <w:r>
        <w:rPr>
          <w:rStyle w:val="Hyperlink"/>
          <w:rFonts w:cstheme="minorHAnsi"/>
          <w:spacing w:val="-6"/>
          <w:lang w:val="en-US"/>
        </w:rPr>
        <w:t xml:space="preserve">. </w:t>
      </w:r>
      <w:r>
        <w:rPr>
          <w:rStyle w:val="bold"/>
          <w:rFonts w:cstheme="minorHAnsi"/>
          <w:spacing w:val="-6"/>
          <w:lang w:val="en-US"/>
        </w:rPr>
        <w:t xml:space="preserve">Cavill R, Sidhu, </w:t>
      </w:r>
      <w:r>
        <w:rPr>
          <w:rStyle w:val="bold"/>
          <w:rFonts w:cstheme="minorHAnsi"/>
          <w:spacing w:val="-2"/>
          <w:u w:val="single"/>
          <w:lang w:val="en-US"/>
        </w:rPr>
        <w:t>Kilarski W</w:t>
      </w:r>
      <w:r>
        <w:rPr>
          <w:rStyle w:val="bold"/>
          <w:rFonts w:cstheme="minorHAnsi"/>
          <w:spacing w:val="-6"/>
          <w:lang w:val="en-US"/>
        </w:rPr>
        <w:t xml:space="preserve">, et al., Bikfalvi A &amp; Keun HC (2010) </w:t>
      </w:r>
      <w:r>
        <w:rPr>
          <w:rStyle w:val="bold"/>
          <w:rFonts w:cstheme="minorHAnsi"/>
          <w:b/>
          <w:spacing w:val="-6"/>
          <w:lang w:val="en-US"/>
        </w:rPr>
        <w:t xml:space="preserve">J Proteome Res, </w:t>
      </w:r>
      <w:r>
        <w:rPr>
          <w:rStyle w:val="bold"/>
          <w:rFonts w:cstheme="minorHAnsi"/>
          <w:bCs/>
          <w:spacing w:val="-6"/>
          <w:lang w:val="en-US"/>
        </w:rPr>
        <w:t>5-year</w:t>
      </w:r>
      <w:r>
        <w:rPr>
          <w:rStyle w:val="bold"/>
          <w:rFonts w:cstheme="minorHAnsi"/>
          <w:b/>
          <w:spacing w:val="-6"/>
          <w:lang w:val="en-US"/>
        </w:rPr>
        <w:t xml:space="preserve"> IF – 4.184</w:t>
      </w:r>
    </w:p>
    <w:p>
      <w:pPr>
        <w:tabs>
          <w:tab w:val="left" w:pos="450"/>
        </w:tabs>
        <w:spacing w:after="120"/>
        <w:ind w:left="450" w:hanging="450"/>
        <w:rPr>
          <w:rFonts w:cstheme="minorHAnsi"/>
          <w:lang w:val="en-US"/>
        </w:rPr>
      </w:pPr>
      <w:r>
        <w:rPr>
          <w:rFonts w:cstheme="minorHAnsi"/>
          <w:lang w:val="en-US"/>
        </w:rPr>
        <w:t>15.</w:t>
      </w:r>
      <w:r>
        <w:rPr>
          <w:rFonts w:cstheme="minorHAnsi"/>
          <w:lang w:val="en-US"/>
        </w:rPr>
        <w:tab/>
      </w:r>
      <w:hyperlink r:id="rId48" w:history="1">
        <w:r>
          <w:rPr>
            <w:rStyle w:val="Hyperlink"/>
            <w:rFonts w:cstheme="minorHAnsi"/>
            <w:b/>
            <w:lang w:val="en-US"/>
          </w:rPr>
          <w:t>Transmural flow modulates cell and fluid transport functions of lymphatic endothelium</w:t>
        </w:r>
      </w:hyperlink>
      <w:r>
        <w:rPr>
          <w:rStyle w:val="Hyperlink"/>
          <w:rFonts w:cstheme="minorHAnsi"/>
          <w:b/>
          <w:lang w:val="en-US"/>
        </w:rPr>
        <w:t>.</w:t>
      </w:r>
      <w:r>
        <w:rPr>
          <w:rFonts w:cstheme="minorHAnsi"/>
          <w:b/>
          <w:lang w:val="en-US"/>
        </w:rPr>
        <w:t xml:space="preserve"> </w:t>
      </w:r>
      <w:r>
        <w:rPr>
          <w:rFonts w:cstheme="minorHAnsi"/>
          <w:lang w:val="en-US"/>
        </w:rPr>
        <w:t xml:space="preserve">Miteva, Rutkowski, Dixon, </w:t>
      </w:r>
      <w:r>
        <w:rPr>
          <w:rFonts w:cstheme="minorHAnsi"/>
          <w:u w:val="single"/>
          <w:lang w:val="en-US"/>
        </w:rPr>
        <w:t>Kilarski W</w:t>
      </w:r>
      <w:r>
        <w:rPr>
          <w:rFonts w:cstheme="minorHAnsi"/>
          <w:lang w:val="en-US"/>
        </w:rPr>
        <w:t xml:space="preserve">, Shields JD, Swartz MA (2010) </w:t>
      </w:r>
      <w:r>
        <w:rPr>
          <w:rFonts w:cstheme="minorHAnsi"/>
          <w:b/>
          <w:lang w:val="en-US"/>
        </w:rPr>
        <w:t>Circ Res, IF – 14.467</w:t>
      </w:r>
    </w:p>
    <w:p>
      <w:pPr>
        <w:tabs>
          <w:tab w:val="left" w:pos="360"/>
        </w:tabs>
        <w:spacing w:after="120"/>
        <w:ind w:left="446" w:hanging="446"/>
        <w:rPr>
          <w:rFonts w:cstheme="minorHAnsi"/>
          <w:lang w:val="en-US"/>
        </w:rPr>
      </w:pPr>
      <w:r>
        <w:rPr>
          <w:rFonts w:cstheme="minorHAnsi"/>
          <w:lang w:val="en-US"/>
        </w:rPr>
        <w:t>14.</w:t>
      </w:r>
      <w:r>
        <w:rPr>
          <w:rFonts w:cstheme="minorHAnsi"/>
          <w:lang w:val="en-US"/>
        </w:rPr>
        <w:tab/>
      </w:r>
      <w:r>
        <w:rPr>
          <w:rFonts w:cstheme="minorHAnsi"/>
          <w:b/>
          <w:bCs/>
          <w:color w:val="595959" w:themeColor="text1" w:themeTint="A6"/>
          <w:vertAlign w:val="superscript"/>
          <w:rtl/>
          <w:lang w:val="en-US" w:bidi="he-IL"/>
        </w:rPr>
        <w:t>א</w:t>
      </w:r>
      <w:r>
        <w:rPr>
          <w:rFonts w:cstheme="minorHAnsi"/>
          <w:b/>
          <w:bCs/>
          <w:color w:val="595959" w:themeColor="text1" w:themeTint="A6"/>
          <w:vertAlign w:val="superscript"/>
          <w:lang w:val="en-US" w:bidi="he-IL"/>
        </w:rPr>
        <w:sym w:font="Wingdings" w:char="F02A"/>
      </w:r>
      <w:hyperlink r:id="rId49" w:history="1">
        <w:r>
          <w:rPr>
            <w:rStyle w:val="Hyperlink"/>
            <w:rFonts w:cstheme="minorHAnsi"/>
            <w:b/>
            <w:lang w:val="en-US"/>
          </w:rPr>
          <w:t>Biomechanical regulation of blood vessel growth during tissue vascularization</w:t>
        </w:r>
      </w:hyperlink>
      <w:r>
        <w:rPr>
          <w:rStyle w:val="Hyperlink"/>
          <w:rFonts w:cstheme="minorHAnsi"/>
          <w:b/>
          <w:lang w:val="en-US"/>
        </w:rPr>
        <w:t xml:space="preserve">. </w:t>
      </w:r>
      <w:r>
        <w:rPr>
          <w:rFonts w:cstheme="minorHAnsi"/>
          <w:spacing w:val="-2"/>
          <w:u w:val="single"/>
          <w:lang w:val="en-US"/>
        </w:rPr>
        <w:t>Kilarski WW</w:t>
      </w:r>
      <w:bookmarkStart w:id="21" w:name="_Hlk509738044"/>
      <w:r>
        <w:rPr>
          <w:rFonts w:cstheme="minorHAnsi"/>
          <w:spacing w:val="-2"/>
          <w:vertAlign w:val="superscript"/>
          <w:lang w:val="en-US"/>
        </w:rPr>
        <w:sym w:font="Wingdings" w:char="F02A"/>
      </w:r>
      <w:bookmarkEnd w:id="21"/>
      <w:r>
        <w:rPr>
          <w:rFonts w:cstheme="minorHAnsi"/>
          <w:spacing w:val="-2"/>
          <w:lang w:val="en-US"/>
        </w:rPr>
        <w:t>, Samolov, Petersson, Kvanta and Gerwins P</w:t>
      </w:r>
      <w:r>
        <w:rPr>
          <w:rFonts w:cstheme="minorHAnsi"/>
          <w:spacing w:val="-2"/>
          <w:vertAlign w:val="superscript"/>
          <w:lang w:val="en-US"/>
        </w:rPr>
        <w:sym w:font="Wingdings" w:char="F02A"/>
      </w:r>
      <w:r>
        <w:rPr>
          <w:rFonts w:cstheme="minorHAnsi"/>
          <w:lang w:val="en-US"/>
        </w:rPr>
        <w:t xml:space="preserve"> (2009) </w:t>
      </w:r>
      <w:r>
        <w:rPr>
          <w:rFonts w:cstheme="minorHAnsi"/>
          <w:b/>
          <w:lang w:val="en-US"/>
        </w:rPr>
        <w:t xml:space="preserve">Nature Medicine, </w:t>
      </w:r>
      <w:r>
        <w:rPr>
          <w:rFonts w:cstheme="minorHAnsi"/>
          <w:bCs/>
          <w:lang w:val="en-US"/>
        </w:rPr>
        <w:t>5-year</w:t>
      </w:r>
      <w:r>
        <w:rPr>
          <w:rFonts w:cstheme="minorHAnsi"/>
          <w:b/>
          <w:lang w:val="en-US"/>
        </w:rPr>
        <w:t xml:space="preserve"> IF - 36.23</w:t>
      </w:r>
    </w:p>
    <w:p>
      <w:pPr>
        <w:tabs>
          <w:tab w:val="left" w:pos="360"/>
        </w:tabs>
        <w:spacing w:after="120"/>
        <w:ind w:left="432" w:hanging="432"/>
        <w:rPr>
          <w:rFonts w:cstheme="minorHAnsi"/>
          <w:lang w:val="en-US"/>
        </w:rPr>
      </w:pPr>
      <w:r>
        <w:rPr>
          <w:rStyle w:val="BodyText2Char"/>
          <w:rFonts w:asciiTheme="minorHAnsi" w:hAnsiTheme="minorHAnsi" w:cstheme="minorHAnsi"/>
          <w:sz w:val="22"/>
        </w:rPr>
        <w:t>13.</w:t>
      </w:r>
      <w:r>
        <w:rPr>
          <w:rStyle w:val="BodyText2Char"/>
          <w:rFonts w:asciiTheme="minorHAnsi" w:hAnsiTheme="minorHAnsi" w:cstheme="minorHAnsi"/>
          <w:sz w:val="22"/>
        </w:rPr>
        <w:tab/>
      </w:r>
      <w:r>
        <w:rPr>
          <w:rStyle w:val="BodyText2Char"/>
          <w:rFonts w:asciiTheme="minorHAnsi" w:hAnsiTheme="minorHAnsi" w:cstheme="minorHAnsi"/>
          <w:b/>
          <w:bCs/>
          <w:color w:val="595959" w:themeColor="text1" w:themeTint="A6"/>
          <w:sz w:val="22"/>
          <w:vertAlign w:val="superscript"/>
          <w:rtl/>
          <w:lang w:bidi="he-IL"/>
        </w:rPr>
        <w:t>א</w:t>
      </w:r>
      <w:hyperlink r:id="rId50" w:history="1">
        <w:r>
          <w:rPr>
            <w:rFonts w:cstheme="minorHAnsi"/>
            <w:vertAlign w:val="superscript"/>
            <w:lang w:val="en-US"/>
          </w:rPr>
          <w:t>,</w:t>
        </w:r>
        <w:r>
          <w:rPr>
            <w:rStyle w:val="Hyperlink"/>
            <w:rFonts w:cstheme="minorHAnsi"/>
            <w:lang w:val="en-US"/>
          </w:rPr>
          <w:t xml:space="preserve">An </w:t>
        </w:r>
        <w:r>
          <w:rPr>
            <w:rStyle w:val="Hyperlink"/>
            <w:rFonts w:cstheme="minorHAnsi"/>
            <w:i/>
            <w:lang w:val="en-US"/>
          </w:rPr>
          <w:t>ex vivo</w:t>
        </w:r>
        <w:r>
          <w:rPr>
            <w:rStyle w:val="Hyperlink"/>
            <w:rFonts w:cstheme="minorHAnsi"/>
            <w:lang w:val="en-US"/>
          </w:rPr>
          <w:t xml:space="preserve"> model for functional studies of myofibroblasts</w:t>
        </w:r>
      </w:hyperlink>
      <w:r>
        <w:rPr>
          <w:rStyle w:val="Hyperlink"/>
          <w:rFonts w:cstheme="minorHAnsi"/>
          <w:lang w:val="en-US"/>
        </w:rPr>
        <w:t xml:space="preserve">. </w:t>
      </w:r>
      <w:r>
        <w:rPr>
          <w:rStyle w:val="BodyText2Char"/>
          <w:rFonts w:asciiTheme="minorHAnsi" w:hAnsiTheme="minorHAnsi" w:cstheme="minorHAnsi"/>
          <w:sz w:val="22"/>
          <w:u w:val="single"/>
        </w:rPr>
        <w:t>Kilarski WW</w:t>
      </w:r>
      <w:r>
        <w:rPr>
          <w:rStyle w:val="BodyText2Char"/>
          <w:rFonts w:asciiTheme="minorHAnsi" w:hAnsiTheme="minorHAnsi" w:cstheme="minorHAnsi"/>
          <w:sz w:val="22"/>
        </w:rPr>
        <w:t xml:space="preserve">, </w:t>
      </w:r>
      <w:r>
        <w:rPr>
          <w:rFonts w:cstheme="minorHAnsi"/>
          <w:lang w:val="en-US"/>
        </w:rPr>
        <w:t xml:space="preserve">Jura, Gerwins P (2005) </w:t>
      </w:r>
      <w:r>
        <w:rPr>
          <w:rFonts w:cstheme="minorHAnsi"/>
          <w:b/>
          <w:lang w:val="en-US"/>
        </w:rPr>
        <w:t xml:space="preserve">Lab Invest, </w:t>
      </w:r>
      <w:r>
        <w:rPr>
          <w:rFonts w:cstheme="minorHAnsi"/>
          <w:shd w:val="clear" w:color="auto" w:fill="FFFFFF"/>
          <w:lang w:val="en-US"/>
        </w:rPr>
        <w:t xml:space="preserve">5-year </w:t>
      </w:r>
      <w:r>
        <w:rPr>
          <w:rFonts w:cstheme="minorHAnsi"/>
          <w:b/>
          <w:bCs/>
          <w:shd w:val="clear" w:color="auto" w:fill="FFFFFF"/>
          <w:lang w:val="en-US"/>
        </w:rPr>
        <w:t>IF - 4.411</w:t>
      </w:r>
    </w:p>
    <w:p>
      <w:pPr>
        <w:tabs>
          <w:tab w:val="left" w:pos="720"/>
        </w:tabs>
        <w:spacing w:after="120"/>
        <w:ind w:left="423" w:hanging="405"/>
        <w:rPr>
          <w:rFonts w:cstheme="minorHAnsi"/>
          <w:lang w:val="en-US"/>
        </w:rPr>
      </w:pPr>
      <w:r>
        <w:rPr>
          <w:rFonts w:cstheme="minorHAnsi"/>
          <w:lang w:val="en-US"/>
        </w:rPr>
        <w:t>12.</w:t>
      </w:r>
      <w:r>
        <w:rPr>
          <w:rFonts w:cstheme="minorHAnsi"/>
          <w:kern w:val="16"/>
          <w:lang w:val="en-US"/>
        </w:rPr>
        <w:tab/>
      </w:r>
      <w:hyperlink r:id="rId51" w:history="1">
        <w:r>
          <w:rPr>
            <w:rStyle w:val="Hyperlink"/>
            <w:rFonts w:cstheme="minorHAnsi"/>
            <w:lang w:val="en-US"/>
          </w:rPr>
          <w:t>Efficient human interferon-alpha gene transfer to neuroendocrine tumor cells with long-term and stable expression</w:t>
        </w:r>
      </w:hyperlink>
      <w:r>
        <w:rPr>
          <w:rStyle w:val="Hyperlink"/>
          <w:rFonts w:cstheme="minorHAnsi"/>
          <w:lang w:val="en-US"/>
        </w:rPr>
        <w:t xml:space="preserve">. </w:t>
      </w:r>
      <w:r>
        <w:rPr>
          <w:rFonts w:cstheme="minorHAnsi"/>
          <w:lang w:val="en-US"/>
        </w:rPr>
        <w:t xml:space="preserve">Liu, </w:t>
      </w:r>
      <w:r>
        <w:rPr>
          <w:rFonts w:cstheme="minorHAnsi"/>
          <w:u w:val="single"/>
          <w:lang w:val="en-US"/>
        </w:rPr>
        <w:t>Kilarski WW</w:t>
      </w:r>
      <w:r>
        <w:rPr>
          <w:rFonts w:cstheme="minorHAnsi"/>
          <w:lang w:val="en-US"/>
        </w:rPr>
        <w:t xml:space="preserve">, Gerwins, Öberg and Zhou Y (2005) </w:t>
      </w:r>
      <w:r>
        <w:rPr>
          <w:rFonts w:cstheme="minorHAnsi"/>
          <w:b/>
          <w:lang w:val="en-US"/>
        </w:rPr>
        <w:t xml:space="preserve">Neuroendocrinology, </w:t>
      </w:r>
      <w:r>
        <w:rPr>
          <w:rFonts w:cstheme="minorHAnsi"/>
          <w:bCs/>
          <w:lang w:val="en-US"/>
        </w:rPr>
        <w:t xml:space="preserve">5-year </w:t>
      </w:r>
      <w:r>
        <w:rPr>
          <w:rFonts w:cstheme="minorHAnsi"/>
          <w:b/>
          <w:lang w:val="en-US"/>
        </w:rPr>
        <w:t>IF - 4.877</w:t>
      </w:r>
    </w:p>
    <w:p>
      <w:pPr>
        <w:tabs>
          <w:tab w:val="left" w:pos="360"/>
        </w:tabs>
        <w:spacing w:after="120"/>
        <w:ind w:left="459" w:hanging="459"/>
        <w:rPr>
          <w:rFonts w:cstheme="minorHAnsi"/>
          <w:lang w:val="en-US"/>
        </w:rPr>
      </w:pPr>
      <w:r>
        <w:rPr>
          <w:rStyle w:val="BodyText2Char"/>
          <w:rFonts w:asciiTheme="minorHAnsi" w:hAnsiTheme="minorHAnsi" w:cstheme="minorHAnsi"/>
          <w:sz w:val="22"/>
        </w:rPr>
        <w:t>11.</w:t>
      </w:r>
      <w:r>
        <w:rPr>
          <w:rStyle w:val="BodyText2Char"/>
          <w:rFonts w:asciiTheme="minorHAnsi" w:hAnsiTheme="minorHAnsi" w:cstheme="minorHAnsi"/>
          <w:sz w:val="22"/>
        </w:rPr>
        <w:tab/>
      </w:r>
      <w:r>
        <w:rPr>
          <w:rStyle w:val="BodyText2Char"/>
          <w:rFonts w:asciiTheme="minorHAnsi" w:hAnsiTheme="minorHAnsi" w:cstheme="minorHAnsi"/>
          <w:b/>
          <w:bCs/>
          <w:color w:val="595959" w:themeColor="text1" w:themeTint="A6"/>
          <w:sz w:val="22"/>
          <w:vertAlign w:val="superscript"/>
          <w:rtl/>
          <w:lang w:bidi="he-IL"/>
        </w:rPr>
        <w:t>א</w:t>
      </w:r>
      <w:hyperlink r:id="rId52" w:history="1">
        <w:r>
          <w:rPr>
            <w:rStyle w:val="Hyperlink"/>
            <w:rFonts w:cstheme="minorHAnsi"/>
            <w:b/>
            <w:lang w:val="en-US"/>
          </w:rPr>
          <w:t>Inactivation of Src family kinases inhibits angiogenesis in vivo. Implications for a mechanism involving organization of the actin cytoskeleton</w:t>
        </w:r>
      </w:hyperlink>
      <w:r>
        <w:rPr>
          <w:rFonts w:cstheme="minorHAnsi"/>
          <w:lang w:val="en-US"/>
        </w:rPr>
        <w:t xml:space="preserve">. </w:t>
      </w:r>
      <w:r>
        <w:rPr>
          <w:rStyle w:val="BodyText2Char"/>
          <w:rFonts w:asciiTheme="minorHAnsi" w:hAnsiTheme="minorHAnsi" w:cstheme="minorHAnsi"/>
          <w:sz w:val="22"/>
          <w:u w:val="single"/>
        </w:rPr>
        <w:t>Kilarski WW</w:t>
      </w:r>
      <w:r>
        <w:rPr>
          <w:rFonts w:cstheme="minorHAnsi"/>
          <w:lang w:val="en-US"/>
        </w:rPr>
        <w:t xml:space="preserve">, Jura, Gerwins P (2003) </w:t>
      </w:r>
      <w:r>
        <w:rPr>
          <w:rFonts w:cstheme="minorHAnsi"/>
          <w:b/>
          <w:lang w:val="en-US"/>
        </w:rPr>
        <w:t>Exp Cell Res, IF - 3.38</w:t>
      </w:r>
    </w:p>
    <w:p>
      <w:pPr>
        <w:tabs>
          <w:tab w:val="left" w:pos="450"/>
        </w:tabs>
        <w:spacing w:after="120"/>
        <w:ind w:left="441" w:hanging="441"/>
        <w:rPr>
          <w:rFonts w:cstheme="minorHAnsi"/>
          <w:b/>
          <w:lang w:val="pl-PL"/>
        </w:rPr>
      </w:pPr>
      <w:r>
        <w:rPr>
          <w:rFonts w:cstheme="minorHAnsi"/>
          <w:lang w:val="en-US"/>
        </w:rPr>
        <w:t>10.</w:t>
      </w:r>
      <w:r>
        <w:rPr>
          <w:rFonts w:cstheme="minorHAnsi"/>
          <w:lang w:val="en-US"/>
        </w:rPr>
        <w:tab/>
      </w:r>
      <w:hyperlink r:id="rId53" w:history="1">
        <w:r>
          <w:rPr>
            <w:rStyle w:val="Hyperlink"/>
            <w:rFonts w:cstheme="minorHAnsi"/>
            <w:lang w:val="en-US"/>
          </w:rPr>
          <w:t>Differential effects of Oncostatin M and leukemia inhibitory factor expression in astrocytoma cells</w:t>
        </w:r>
      </w:hyperlink>
      <w:r>
        <w:rPr>
          <w:rStyle w:val="Hyperlink"/>
          <w:rFonts w:cstheme="minorHAnsi"/>
          <w:lang w:val="en-US"/>
        </w:rPr>
        <w:t xml:space="preserve">. </w:t>
      </w:r>
      <w:r>
        <w:rPr>
          <w:rFonts w:cstheme="minorHAnsi"/>
          <w:lang w:val="pl-PL"/>
        </w:rPr>
        <w:t xml:space="preserve">Kasza, Rogowski, </w:t>
      </w:r>
      <w:r>
        <w:rPr>
          <w:rStyle w:val="BodyText2Char"/>
          <w:rFonts w:asciiTheme="minorHAnsi" w:hAnsiTheme="minorHAnsi" w:cstheme="minorHAnsi"/>
          <w:sz w:val="22"/>
          <w:u w:val="single"/>
          <w:lang w:val="pl-PL"/>
        </w:rPr>
        <w:t>Kilarski W</w:t>
      </w:r>
      <w:r>
        <w:rPr>
          <w:rFonts w:cstheme="minorHAnsi"/>
          <w:lang w:val="pl-PL"/>
        </w:rPr>
        <w:t xml:space="preserve">, Sobota, Bernas, Dobrucki, Travis J, Koj, </w:t>
      </w:r>
      <w:r>
        <w:rPr>
          <w:rStyle w:val="WithintentChar"/>
          <w:rFonts w:eastAsia="Calibri" w:cstheme="minorHAnsi"/>
        </w:rPr>
        <w:t>Bugno, Kordula</w:t>
      </w:r>
      <w:r>
        <w:rPr>
          <w:rFonts w:cstheme="minorHAnsi"/>
          <w:lang w:val="pl-PL"/>
        </w:rPr>
        <w:t xml:space="preserve"> T (2001) </w:t>
      </w:r>
      <w:r>
        <w:rPr>
          <w:rFonts w:cstheme="minorHAnsi"/>
          <w:b/>
          <w:lang w:val="pl-PL"/>
        </w:rPr>
        <w:t>Biochem J</w:t>
      </w:r>
      <w:r>
        <w:rPr>
          <w:rFonts w:cstheme="minorHAnsi"/>
          <w:shd w:val="clear" w:color="auto" w:fill="FFFFFF"/>
          <w:lang w:val="pl-PL"/>
        </w:rPr>
        <w:t xml:space="preserve">. 5-year </w:t>
      </w:r>
      <w:r>
        <w:rPr>
          <w:rFonts w:cstheme="minorHAnsi"/>
          <w:b/>
          <w:bCs/>
          <w:shd w:val="clear" w:color="auto" w:fill="FFFFFF"/>
          <w:lang w:val="pl-PL"/>
        </w:rPr>
        <w:t>IF - 4.146</w:t>
      </w:r>
    </w:p>
    <w:p>
      <w:pPr>
        <w:tabs>
          <w:tab w:val="left" w:pos="450"/>
        </w:tabs>
        <w:spacing w:after="120"/>
        <w:ind w:left="450" w:hanging="360"/>
        <w:rPr>
          <w:rFonts w:cstheme="minorHAnsi"/>
          <w:b/>
          <w:bCs/>
          <w:shd w:val="clear" w:color="auto" w:fill="FFFFFF"/>
          <w:lang w:val="en-US"/>
        </w:rPr>
      </w:pPr>
      <w:bookmarkStart w:id="22" w:name="_Ref348193282"/>
      <w:r>
        <w:rPr>
          <w:rFonts w:cstheme="minorHAnsi"/>
          <w:lang w:val="en-US"/>
        </w:rPr>
        <w:t>9.</w:t>
      </w:r>
      <w:r>
        <w:rPr>
          <w:rFonts w:cstheme="minorHAnsi"/>
          <w:lang w:val="en-US"/>
        </w:rPr>
        <w:tab/>
      </w:r>
      <w:hyperlink r:id="rId54" w:history="1">
        <w:r>
          <w:rPr>
            <w:rStyle w:val="Hyperlink"/>
            <w:rFonts w:cstheme="minorHAnsi"/>
            <w:lang w:val="en-US"/>
          </w:rPr>
          <w:t>Binding of Zn</w:t>
        </w:r>
        <w:r>
          <w:rPr>
            <w:rStyle w:val="Hyperlink"/>
            <w:rFonts w:cstheme="minorHAnsi"/>
            <w:vertAlign w:val="superscript"/>
            <w:lang w:val="en-US"/>
          </w:rPr>
          <w:t>+2</w:t>
        </w:r>
        <w:r>
          <w:rPr>
            <w:rStyle w:val="Hyperlink"/>
            <w:rFonts w:cstheme="minorHAnsi"/>
            <w:lang w:val="en-US"/>
          </w:rPr>
          <w:t xml:space="preserve"> to the plasma inter-α-inhibitor</w:t>
        </w:r>
      </w:hyperlink>
      <w:r>
        <w:rPr>
          <w:rStyle w:val="Hyperlink"/>
          <w:rFonts w:cstheme="minorHAnsi"/>
          <w:lang w:val="en-US"/>
        </w:rPr>
        <w:t xml:space="preserve">. </w:t>
      </w:r>
      <w:r>
        <w:rPr>
          <w:rFonts w:cstheme="minorHAnsi"/>
          <w:lang w:val="en-US"/>
        </w:rPr>
        <w:t xml:space="preserve">Blom, Thuveson, </w:t>
      </w:r>
      <w:r>
        <w:rPr>
          <w:rStyle w:val="BodyText2Char"/>
          <w:rFonts w:asciiTheme="minorHAnsi" w:hAnsiTheme="minorHAnsi" w:cstheme="minorHAnsi"/>
          <w:sz w:val="22"/>
          <w:u w:val="single"/>
        </w:rPr>
        <w:t>Kilarski W</w:t>
      </w:r>
      <w:r>
        <w:rPr>
          <w:rFonts w:cstheme="minorHAnsi"/>
          <w:lang w:val="en-US"/>
        </w:rPr>
        <w:t xml:space="preserve">, Fries E (1999) </w:t>
      </w:r>
      <w:r>
        <w:rPr>
          <w:rFonts w:cstheme="minorHAnsi"/>
          <w:b/>
          <w:lang w:val="en-US"/>
        </w:rPr>
        <w:t>Clin Chim Acta</w:t>
      </w:r>
      <w:bookmarkEnd w:id="22"/>
      <w:r>
        <w:rPr>
          <w:rFonts w:cstheme="minorHAnsi"/>
          <w:b/>
          <w:lang w:val="en-US"/>
        </w:rPr>
        <w:t xml:space="preserve">, </w:t>
      </w:r>
      <w:r>
        <w:rPr>
          <w:rFonts w:cstheme="minorHAnsi"/>
          <w:shd w:val="clear" w:color="auto" w:fill="FFFFFF"/>
          <w:lang w:val="en-US"/>
        </w:rPr>
        <w:t xml:space="preserve">5-year </w:t>
      </w:r>
      <w:r>
        <w:rPr>
          <w:rFonts w:cstheme="minorHAnsi"/>
          <w:b/>
          <w:bCs/>
          <w:shd w:val="clear" w:color="auto" w:fill="FFFFFF"/>
          <w:lang w:val="en-US"/>
        </w:rPr>
        <w:t>IF – 2.781</w:t>
      </w:r>
    </w:p>
    <w:p>
      <w:pPr>
        <w:pStyle w:val="Heading3"/>
        <w:spacing w:before="120" w:after="0"/>
        <w:rPr>
          <w:lang w:val="en-US"/>
        </w:rPr>
      </w:pPr>
      <w:r>
        <w:rPr>
          <w:lang w:val="en-US"/>
        </w:rPr>
        <w:t>Reviews</w:t>
      </w:r>
      <w:bookmarkEnd w:id="16"/>
      <w:r>
        <w:rPr>
          <w:lang w:val="en-US"/>
        </w:rPr>
        <w:t xml:space="preserve"> in JCR journals</w:t>
      </w:r>
    </w:p>
    <w:p>
      <w:pPr>
        <w:spacing w:after="120"/>
        <w:ind w:left="374" w:right="-86" w:hanging="288"/>
        <w:rPr>
          <w:rFonts w:cstheme="minorHAnsi"/>
          <w:lang w:val="en-US"/>
        </w:rPr>
      </w:pPr>
      <w:r>
        <w:rPr>
          <w:rFonts w:cstheme="minorHAnsi"/>
          <w:lang w:val="en-US"/>
        </w:rPr>
        <w:t>8.</w:t>
      </w:r>
      <w:bookmarkStart w:id="23" w:name="_Toc504472661"/>
      <w:r>
        <w:rPr>
          <w:rFonts w:cstheme="minorHAnsi"/>
          <w:bCs/>
          <w:vertAlign w:val="superscript"/>
          <w:rtl/>
          <w:lang w:val="en-US" w:bidi="he-IL"/>
        </w:rPr>
        <w:t>א</w:t>
      </w:r>
      <w:r>
        <w:rPr>
          <w:rFonts w:cstheme="minorHAnsi"/>
          <w:bCs/>
          <w:vertAlign w:val="superscript"/>
          <w:lang w:val="en-US" w:bidi="he-IL"/>
        </w:rPr>
        <w:t>,</w:t>
      </w:r>
      <w:r>
        <w:rPr>
          <w:rFonts w:cstheme="minorHAnsi"/>
          <w:b/>
          <w:position w:val="4"/>
          <w:vertAlign w:val="superscript"/>
          <w:lang w:val="en-US"/>
        </w:rPr>
        <w:t>Ω,</w:t>
      </w:r>
      <w:r>
        <w:rPr>
          <w:rFonts w:cstheme="minorHAnsi"/>
          <w:vertAlign w:val="superscript"/>
          <w:lang w:val="en-US"/>
        </w:rPr>
        <w:sym w:font="Wingdings" w:char="F02A"/>
      </w:r>
      <w:hyperlink r:id="rId55" w:history="1">
        <w:r>
          <w:rPr>
            <w:rStyle w:val="Hyperlink"/>
            <w:rFonts w:cstheme="minorHAnsi"/>
            <w:b/>
            <w:lang w:val="en-US"/>
          </w:rPr>
          <w:t>Physiological perspective on therapies of lymphatic vessels</w:t>
        </w:r>
        <w:bookmarkEnd w:id="23"/>
        <w:r>
          <w:rPr>
            <w:rStyle w:val="Hyperlink"/>
            <w:rFonts w:cstheme="minorHAnsi"/>
            <w:b/>
            <w:lang w:val="en-US"/>
          </w:rPr>
          <w:t>.</w:t>
        </w:r>
      </w:hyperlink>
      <w:r>
        <w:rPr>
          <w:rFonts w:cstheme="minorHAnsi"/>
          <w:b/>
          <w:lang w:val="en-US"/>
        </w:rPr>
        <w:t xml:space="preserve"> </w:t>
      </w:r>
      <w:r>
        <w:rPr>
          <w:rFonts w:cstheme="minorHAnsi"/>
          <w:bCs/>
          <w:u w:val="single"/>
          <w:lang w:val="en-US"/>
        </w:rPr>
        <w:t>Kilarski WW</w:t>
      </w:r>
      <w:r>
        <w:rPr>
          <w:rFonts w:cstheme="minorHAnsi"/>
          <w:vertAlign w:val="superscript"/>
          <w:lang w:val="en-US"/>
        </w:rPr>
        <w:sym w:font="Wingdings" w:char="F02A"/>
      </w:r>
      <w:r>
        <w:rPr>
          <w:rFonts w:cstheme="minorHAnsi"/>
          <w:bCs/>
          <w:lang w:val="en-US"/>
        </w:rPr>
        <w:t xml:space="preserve"> </w:t>
      </w:r>
      <w:r>
        <w:rPr>
          <w:rFonts w:cstheme="minorHAnsi"/>
          <w:lang w:val="en-US"/>
        </w:rPr>
        <w:t xml:space="preserve">(2018) Special ed. </w:t>
      </w:r>
      <w:r>
        <w:rPr>
          <w:rFonts w:cstheme="minorHAnsi"/>
          <w:b/>
          <w:lang w:val="en-US"/>
        </w:rPr>
        <w:t xml:space="preserve">Adv Wound Care, </w:t>
      </w:r>
      <w:r>
        <w:rPr>
          <w:rFonts w:cstheme="minorHAnsi"/>
          <w:bCs/>
          <w:lang w:val="en-US"/>
        </w:rPr>
        <w:t>5-year</w:t>
      </w:r>
      <w:r>
        <w:rPr>
          <w:rFonts w:cstheme="minorHAnsi"/>
          <w:b/>
          <w:lang w:val="en-US"/>
        </w:rPr>
        <w:t xml:space="preserve"> IF -  3.523</w:t>
      </w:r>
    </w:p>
    <w:p>
      <w:pPr>
        <w:tabs>
          <w:tab w:val="left" w:pos="450"/>
        </w:tabs>
        <w:spacing w:after="120"/>
        <w:ind w:left="450" w:hanging="360"/>
        <w:rPr>
          <w:rFonts w:cstheme="minorHAnsi"/>
          <w:lang w:val="en-US"/>
        </w:rPr>
      </w:pPr>
      <w:r>
        <w:rPr>
          <w:rFonts w:cstheme="minorHAnsi"/>
          <w:lang w:val="en-US"/>
        </w:rPr>
        <w:t>7.</w:t>
      </w:r>
      <w:r>
        <w:rPr>
          <w:rFonts w:cstheme="minorHAnsi"/>
          <w:lang w:val="en-US"/>
        </w:rPr>
        <w:tab/>
      </w:r>
      <w:hyperlink r:id="rId56" w:history="1">
        <w:r>
          <w:rPr>
            <w:rStyle w:val="Hyperlink"/>
            <w:rFonts w:cstheme="minorHAnsi"/>
            <w:lang w:val="en-US"/>
          </w:rPr>
          <w:t>The dual role of tumor lymphatic vessels in the dissemination of metastases and immune response development</w:t>
        </w:r>
      </w:hyperlink>
      <w:r>
        <w:rPr>
          <w:rStyle w:val="Hyperlink"/>
          <w:rFonts w:cstheme="minorHAnsi"/>
          <w:lang w:val="en-US"/>
        </w:rPr>
        <w:t xml:space="preserve">. </w:t>
      </w:r>
      <w:r>
        <w:rPr>
          <w:rFonts w:cstheme="minorHAnsi"/>
          <w:lang w:val="en-US"/>
        </w:rPr>
        <w:t xml:space="preserve">Stachura, Wachowska, </w:t>
      </w:r>
      <w:r>
        <w:rPr>
          <w:rFonts w:cstheme="minorHAnsi"/>
          <w:u w:val="single"/>
          <w:lang w:val="en-US"/>
        </w:rPr>
        <w:t>Kilarski WW</w:t>
      </w:r>
      <w:r>
        <w:rPr>
          <w:rFonts w:cstheme="minorHAnsi"/>
          <w:lang w:val="en-US"/>
        </w:rPr>
        <w:t xml:space="preserve">, Güç, Gołąb J, Muchowicz J (2016) </w:t>
      </w:r>
      <w:r>
        <w:rPr>
          <w:rFonts w:cstheme="minorHAnsi"/>
          <w:b/>
          <w:lang w:val="en-US"/>
        </w:rPr>
        <w:t xml:space="preserve">Oncoimmunology, </w:t>
      </w:r>
      <w:r>
        <w:rPr>
          <w:rFonts w:cstheme="minorHAnsi"/>
          <w:bCs/>
          <w:lang w:val="en-US"/>
        </w:rPr>
        <w:t>5-year</w:t>
      </w:r>
      <w:r>
        <w:rPr>
          <w:rFonts w:cstheme="minorHAnsi"/>
          <w:b/>
          <w:lang w:val="en-US"/>
        </w:rPr>
        <w:t xml:space="preserve"> IF – 6.255</w:t>
      </w:r>
    </w:p>
    <w:p>
      <w:pPr>
        <w:tabs>
          <w:tab w:val="left" w:pos="360"/>
        </w:tabs>
        <w:spacing w:after="120"/>
        <w:ind w:left="360" w:hanging="274"/>
        <w:rPr>
          <w:rFonts w:cstheme="minorHAnsi"/>
          <w:lang w:val="en-US"/>
        </w:rPr>
      </w:pPr>
      <w:r>
        <w:rPr>
          <w:rFonts w:cstheme="minorHAnsi"/>
          <w:lang w:val="en-US"/>
        </w:rPr>
        <w:t>6.</w:t>
      </w:r>
      <w:r>
        <w:rPr>
          <w:rFonts w:cstheme="minorHAnsi"/>
          <w:lang w:val="en-US"/>
        </w:rPr>
        <w:tab/>
      </w:r>
      <w:r>
        <w:rPr>
          <w:rFonts w:cstheme="minorHAnsi"/>
          <w:b/>
          <w:vertAlign w:val="superscript"/>
          <w:lang w:val="en-US"/>
        </w:rPr>
        <w:t>Ω,</w:t>
      </w:r>
      <w:r>
        <w:rPr>
          <w:rFonts w:cstheme="minorHAnsi"/>
          <w:vertAlign w:val="superscript"/>
          <w:lang w:val="en-US"/>
        </w:rPr>
        <w:sym w:font="Wingdings" w:char="F02A"/>
      </w:r>
      <w:hyperlink r:id="rId57" w:history="1">
        <w:r>
          <w:rPr>
            <w:rStyle w:val="Hyperlink"/>
            <w:rFonts w:cstheme="minorHAnsi"/>
            <w:lang w:val="en-US"/>
          </w:rPr>
          <w:t>Mechanisms of angiogenesis: perspectives from antiangiogenic tumor therapies</w:t>
        </w:r>
      </w:hyperlink>
      <w:r>
        <w:rPr>
          <w:rStyle w:val="Hyperlink"/>
          <w:rFonts w:cstheme="minorHAnsi"/>
          <w:lang w:val="en-US"/>
        </w:rPr>
        <w:t xml:space="preserve">. </w:t>
      </w:r>
      <w:r>
        <w:rPr>
          <w:rFonts w:cstheme="minorHAnsi"/>
          <w:lang w:val="en-US"/>
        </w:rPr>
        <w:t xml:space="preserve">Rice, Gerwins, </w:t>
      </w:r>
      <w:r>
        <w:rPr>
          <w:rFonts w:cstheme="minorHAnsi"/>
          <w:u w:val="single"/>
          <w:lang w:val="en-US"/>
        </w:rPr>
        <w:t>Kilarski WW</w:t>
      </w:r>
      <w:r>
        <w:rPr>
          <w:rFonts w:cstheme="minorHAnsi"/>
          <w:vertAlign w:val="superscript"/>
          <w:lang w:val="en-US"/>
        </w:rPr>
        <w:sym w:font="Wingdings" w:char="F02A"/>
      </w:r>
      <w:r>
        <w:rPr>
          <w:rFonts w:cstheme="minorHAnsi"/>
          <w:lang w:val="en-US"/>
        </w:rPr>
        <w:t xml:space="preserve"> (2012) </w:t>
      </w:r>
      <w:r>
        <w:rPr>
          <w:rFonts w:cstheme="minorHAnsi"/>
          <w:b/>
          <w:lang w:val="en-US"/>
        </w:rPr>
        <w:t>Curr Angiogenesis</w:t>
      </w:r>
    </w:p>
    <w:p>
      <w:pPr>
        <w:spacing w:after="120"/>
        <w:ind w:left="360" w:right="-172" w:hanging="270"/>
        <w:rPr>
          <w:rFonts w:cstheme="minorHAnsi"/>
          <w:b/>
          <w:spacing w:val="-4"/>
          <w:lang w:val="en-US"/>
        </w:rPr>
      </w:pPr>
      <w:r>
        <w:rPr>
          <w:rFonts w:cstheme="minorHAnsi"/>
          <w:lang w:val="en-US"/>
        </w:rPr>
        <w:t>5.</w:t>
      </w:r>
      <w:r>
        <w:rPr>
          <w:rFonts w:cstheme="minorHAnsi"/>
          <w:lang w:val="en-US"/>
        </w:rPr>
        <w:tab/>
      </w:r>
      <w:r>
        <w:rPr>
          <w:rFonts w:cstheme="minorHAnsi"/>
          <w:b/>
          <w:bCs/>
          <w:vertAlign w:val="superscript"/>
          <w:rtl/>
          <w:lang w:val="en-US" w:bidi="he-IL"/>
        </w:rPr>
        <w:t>א</w:t>
      </w:r>
      <w:r>
        <w:rPr>
          <w:rFonts w:cstheme="minorHAnsi"/>
          <w:b/>
          <w:spacing w:val="-4"/>
          <w:u w:color="FFFFFF" w:themeColor="background1"/>
          <w:vertAlign w:val="superscript"/>
          <w:lang w:val="en-US"/>
        </w:rPr>
        <w:t>,</w:t>
      </w:r>
      <w:r>
        <w:rPr>
          <w:rFonts w:cstheme="minorHAnsi"/>
          <w:vertAlign w:val="superscript"/>
          <w:lang w:val="en-US"/>
        </w:rPr>
        <w:sym w:font="Wingdings" w:char="F02A"/>
      </w:r>
      <w:hyperlink r:id="rId58" w:history="1">
        <w:r>
          <w:rPr>
            <w:rStyle w:val="Hyperlink"/>
            <w:rFonts w:cstheme="minorHAnsi"/>
            <w:b/>
            <w:spacing w:val="-4"/>
            <w:lang w:val="en-US"/>
          </w:rPr>
          <w:t>New mechanism of vessel growth-hope for new treatment strategies.</w:t>
        </w:r>
      </w:hyperlink>
      <w:r>
        <w:rPr>
          <w:rFonts w:cstheme="minorHAnsi"/>
          <w:lang w:val="en-US"/>
        </w:rPr>
        <w:t xml:space="preserve"> </w:t>
      </w:r>
      <w:r>
        <w:rPr>
          <w:rFonts w:cstheme="minorHAnsi"/>
          <w:u w:val="single"/>
          <w:lang w:val="en-US"/>
        </w:rPr>
        <w:t>Kilarski WW</w:t>
      </w:r>
      <w:r>
        <w:rPr>
          <w:rFonts w:cstheme="minorHAnsi"/>
          <w:vertAlign w:val="superscript"/>
          <w:lang w:val="en-US"/>
        </w:rPr>
        <w:sym w:font="Wingdings" w:char="F02A"/>
      </w:r>
      <w:bookmarkStart w:id="24" w:name="_Hlk509840941"/>
      <w:r>
        <w:rPr>
          <w:rFonts w:cstheme="minorHAnsi"/>
          <w:spacing w:val="-4"/>
          <w:lang w:val="en-US"/>
        </w:rPr>
        <w:t>&amp;</w:t>
      </w:r>
      <w:bookmarkEnd w:id="24"/>
      <w:r>
        <w:rPr>
          <w:rFonts w:cstheme="minorHAnsi"/>
          <w:spacing w:val="-4"/>
          <w:lang w:val="en-US"/>
        </w:rPr>
        <w:t>Gerwins</w:t>
      </w:r>
      <w:r>
        <w:rPr>
          <w:rFonts w:cstheme="minorHAnsi"/>
          <w:spacing w:val="-4"/>
          <w:vertAlign w:val="superscript"/>
          <w:lang w:val="en-US"/>
        </w:rPr>
        <w:sym w:font="Wingdings" w:char="F02A"/>
      </w:r>
      <w:r>
        <w:rPr>
          <w:rFonts w:cstheme="minorHAnsi"/>
          <w:spacing w:val="-4"/>
          <w:lang w:val="en-US"/>
        </w:rPr>
        <w:t xml:space="preserve"> (2009) </w:t>
      </w:r>
      <w:r>
        <w:rPr>
          <w:rFonts w:cstheme="minorHAnsi"/>
          <w:b/>
          <w:spacing w:val="-4"/>
          <w:lang w:val="en-US"/>
        </w:rPr>
        <w:t>Discov Med, IF - 2.174</w:t>
      </w:r>
    </w:p>
    <w:p>
      <w:pPr>
        <w:tabs>
          <w:tab w:val="left" w:pos="360"/>
        </w:tabs>
        <w:spacing w:after="120"/>
        <w:ind w:left="540" w:hanging="450"/>
        <w:rPr>
          <w:rFonts w:cstheme="minorHAnsi"/>
          <w:lang w:val="en-US"/>
        </w:rPr>
      </w:pPr>
      <w:r>
        <w:rPr>
          <w:rFonts w:cstheme="minorHAnsi"/>
          <w:lang w:val="en-US"/>
        </w:rPr>
        <w:t>4.</w:t>
      </w:r>
      <w:r>
        <w:rPr>
          <w:rFonts w:cstheme="minorHAnsi"/>
          <w:lang w:val="en-US"/>
        </w:rPr>
        <w:tab/>
      </w:r>
      <w:r>
        <w:rPr>
          <w:rFonts w:cstheme="minorHAnsi"/>
          <w:b/>
          <w:bCs/>
          <w:vertAlign w:val="superscript"/>
          <w:rtl/>
          <w:lang w:val="en-US" w:bidi="he-IL"/>
        </w:rPr>
        <w:t>א</w:t>
      </w:r>
      <w:hyperlink r:id="rId59" w:history="1">
        <w:r>
          <w:rPr>
            <w:rStyle w:val="Hyperlink"/>
            <w:rFonts w:cstheme="minorHAnsi"/>
            <w:lang w:val="en-US"/>
          </w:rPr>
          <w:t>Experimental approaches to study in vivo angiogenesis</w:t>
        </w:r>
      </w:hyperlink>
      <w:r>
        <w:rPr>
          <w:rStyle w:val="Hyperlink"/>
          <w:rFonts w:cstheme="minorHAnsi"/>
          <w:lang w:val="en-US"/>
        </w:rPr>
        <w:t xml:space="preserve">. </w:t>
      </w:r>
      <w:r>
        <w:rPr>
          <w:rFonts w:cstheme="minorHAnsi"/>
          <w:u w:val="single"/>
          <w:lang w:val="en-US"/>
        </w:rPr>
        <w:t>Kilarski WW</w:t>
      </w:r>
      <w:r>
        <w:rPr>
          <w:rFonts w:cstheme="minorHAnsi"/>
          <w:lang w:val="en-US"/>
        </w:rPr>
        <w:t xml:space="preserve"> &amp; Bikfalvi A (2007) </w:t>
      </w:r>
      <w:r>
        <w:rPr>
          <w:rFonts w:cstheme="minorHAnsi"/>
          <w:b/>
          <w:lang w:val="en-US"/>
        </w:rPr>
        <w:t>Bull</w:t>
      </w:r>
      <w:r>
        <w:rPr>
          <w:rFonts w:cstheme="minorHAnsi"/>
          <w:i/>
          <w:lang w:val="en-US"/>
        </w:rPr>
        <w:t xml:space="preserve"> </w:t>
      </w:r>
      <w:r>
        <w:rPr>
          <w:rFonts w:cstheme="minorHAnsi"/>
          <w:b/>
          <w:lang w:val="en-US"/>
        </w:rPr>
        <w:t>Cancer, IF 0.912</w:t>
      </w:r>
    </w:p>
    <w:p>
      <w:pPr>
        <w:tabs>
          <w:tab w:val="left" w:pos="450"/>
        </w:tabs>
        <w:spacing w:after="120"/>
        <w:ind w:left="360" w:hanging="270"/>
        <w:rPr>
          <w:rFonts w:cstheme="minorHAnsi"/>
          <w:b/>
          <w:lang w:val="en-US"/>
        </w:rPr>
      </w:pPr>
      <w:r>
        <w:rPr>
          <w:rFonts w:cstheme="minorHAnsi"/>
          <w:noProof/>
          <w:lang w:val="en-US"/>
        </w:rPr>
        <w:t>3.</w:t>
      </w:r>
      <w:r>
        <w:rPr>
          <w:rFonts w:cstheme="minorHAnsi"/>
          <w:noProof/>
          <w:lang w:val="en-US"/>
        </w:rPr>
        <w:tab/>
      </w:r>
      <w:r>
        <w:rPr>
          <w:rFonts w:cstheme="minorHAnsi"/>
          <w:b/>
          <w:bCs/>
          <w:noProof/>
          <w:vertAlign w:val="superscript"/>
          <w:rtl/>
          <w:lang w:val="en-US" w:bidi="he-IL"/>
        </w:rPr>
        <w:t>א</w:t>
      </w:r>
      <w:hyperlink r:id="rId60" w:history="1">
        <w:r>
          <w:rPr>
            <w:rStyle w:val="Hyperlink"/>
            <w:rFonts w:cstheme="minorHAnsi"/>
            <w:noProof/>
            <w:lang w:val="en-US"/>
          </w:rPr>
          <w:t>Recent developments</w:t>
        </w:r>
        <w:r>
          <w:rPr>
            <w:rStyle w:val="Hyperlink"/>
            <w:rFonts w:cstheme="minorHAnsi"/>
            <w:lang w:val="en-US"/>
          </w:rPr>
          <w:t xml:space="preserve"> in tumor angiogenesis</w:t>
        </w:r>
      </w:hyperlink>
      <w:r>
        <w:rPr>
          <w:rStyle w:val="Hyperlink"/>
          <w:rFonts w:cstheme="minorHAnsi"/>
          <w:lang w:val="en-US"/>
        </w:rPr>
        <w:t xml:space="preserve">. </w:t>
      </w:r>
      <w:r>
        <w:rPr>
          <w:rFonts w:cstheme="minorHAnsi"/>
          <w:u w:val="single"/>
          <w:lang w:val="en-US"/>
        </w:rPr>
        <w:t>Kilarski WW</w:t>
      </w:r>
      <w:r>
        <w:rPr>
          <w:rFonts w:cstheme="minorHAnsi"/>
          <w:lang w:val="en-US"/>
        </w:rPr>
        <w:t xml:space="preserve"> &amp; Bikfalvi A (2007) </w:t>
      </w:r>
      <w:r>
        <w:rPr>
          <w:rFonts w:cstheme="minorHAnsi"/>
          <w:b/>
          <w:lang w:val="en-US"/>
        </w:rPr>
        <w:t xml:space="preserve">Curr Pharm Biotechnol, </w:t>
      </w:r>
      <w:r>
        <w:rPr>
          <w:rFonts w:cstheme="minorHAnsi"/>
          <w:bCs/>
          <w:lang w:val="en-US"/>
        </w:rPr>
        <w:t>5-year</w:t>
      </w:r>
      <w:r>
        <w:rPr>
          <w:rFonts w:cstheme="minorHAnsi"/>
          <w:b/>
          <w:lang w:val="en-US"/>
        </w:rPr>
        <w:t xml:space="preserve"> IF – 2,121</w:t>
      </w:r>
    </w:p>
    <w:p>
      <w:pPr>
        <w:pStyle w:val="Heading3"/>
        <w:spacing w:before="240"/>
        <w:rPr>
          <w:noProof/>
          <w:lang w:val="en-US"/>
        </w:rPr>
      </w:pPr>
      <w:r>
        <w:rPr>
          <w:noProof/>
          <w:lang w:val="en-US"/>
        </w:rPr>
        <w:t>Non-JCR publications</w:t>
      </w:r>
    </w:p>
    <w:p>
      <w:pPr>
        <w:pStyle w:val="Style1"/>
        <w:numPr>
          <w:ilvl w:val="0"/>
          <w:numId w:val="0"/>
        </w:numPr>
        <w:tabs>
          <w:tab w:val="left" w:pos="360"/>
        </w:tabs>
        <w:spacing w:before="40" w:after="0"/>
        <w:ind w:left="450" w:hanging="360"/>
        <w:rPr>
          <w:color w:val="auto"/>
          <w:lang w:val="en-US"/>
        </w:rPr>
      </w:pPr>
      <w:r>
        <w:rPr>
          <w:lang w:val="en-US"/>
        </w:rPr>
        <w:t>2.</w:t>
      </w:r>
      <w:r>
        <w:rPr>
          <w:lang w:val="en-US"/>
        </w:rPr>
        <w:tab/>
      </w:r>
      <w:r>
        <w:rPr>
          <w:rFonts w:cs="Calibri"/>
          <w:b/>
          <w:bCs/>
          <w:sz w:val="32"/>
          <w:szCs w:val="32"/>
          <w:vertAlign w:val="superscript"/>
          <w:rtl/>
          <w:lang w:val="en-US" w:bidi="he-IL"/>
        </w:rPr>
        <w:t>א</w:t>
      </w:r>
      <w:hyperlink r:id="rId61" w:history="1">
        <w:r>
          <w:rPr>
            <w:sz w:val="28"/>
            <w:szCs w:val="28"/>
            <w:vertAlign w:val="superscript"/>
            <w:lang w:val="en-US"/>
          </w:rPr>
          <w:t>,</w:t>
        </w:r>
        <w:r>
          <w:rPr>
            <w:sz w:val="28"/>
            <w:szCs w:val="28"/>
            <w:vertAlign w:val="superscript"/>
            <w:lang w:val="en-US"/>
          </w:rPr>
          <w:sym w:font="Wingdings" w:char="F02A"/>
        </w:r>
        <w:r>
          <w:rPr>
            <w:rStyle w:val="Hyperlink"/>
            <w:rFonts w:cstheme="minorHAnsi"/>
            <w:lang w:val="en-US"/>
          </w:rPr>
          <w:t>Intravital immunofluorescence for visualizing the microcirculatory and immune microenvironments in the mouse ear dermis</w:t>
        </w:r>
      </w:hyperlink>
      <w:r>
        <w:rPr>
          <w:lang w:val="en-US"/>
        </w:rPr>
        <w:t xml:space="preserve">. </w:t>
      </w:r>
      <w:r>
        <w:rPr>
          <w:color w:val="auto"/>
          <w:u w:val="single"/>
          <w:lang w:val="en-US"/>
        </w:rPr>
        <w:t>Kilarski WW</w:t>
      </w:r>
      <w:r>
        <w:rPr>
          <w:color w:val="auto"/>
          <w:sz w:val="28"/>
          <w:szCs w:val="28"/>
          <w:vertAlign w:val="superscript"/>
          <w:lang w:val="en-US"/>
        </w:rPr>
        <w:sym w:font="Wingdings" w:char="F02A"/>
      </w:r>
      <w:r>
        <w:rPr>
          <w:color w:val="auto"/>
          <w:lang w:val="en-US"/>
        </w:rPr>
        <w:t xml:space="preserve">, </w:t>
      </w:r>
      <w:r>
        <w:rPr>
          <w:rStyle w:val="gi"/>
          <w:rFonts w:cstheme="minorHAnsi"/>
          <w:color w:val="auto"/>
          <w:lang w:val="en-US"/>
        </w:rPr>
        <w:t xml:space="preserve">Güç, Swartz MA </w:t>
      </w:r>
      <w:r>
        <w:rPr>
          <w:color w:val="auto"/>
          <w:lang w:val="en-US"/>
        </w:rPr>
        <w:t>(2013)</w:t>
      </w:r>
      <w:r>
        <w:rPr>
          <w:i/>
          <w:color w:val="auto"/>
          <w:lang w:val="en-US"/>
        </w:rPr>
        <w:t xml:space="preserve"> </w:t>
      </w:r>
      <w:r>
        <w:rPr>
          <w:b/>
          <w:color w:val="auto"/>
          <w:lang w:val="en-US"/>
        </w:rPr>
        <w:t>Leica Sci Lab</w:t>
      </w:r>
      <w:r>
        <w:rPr>
          <w:color w:val="auto"/>
          <w:lang w:val="en-US"/>
        </w:rPr>
        <w:t xml:space="preserve"> </w:t>
      </w:r>
    </w:p>
    <w:p>
      <w:pPr>
        <w:pStyle w:val="Style1"/>
        <w:numPr>
          <w:ilvl w:val="0"/>
          <w:numId w:val="0"/>
        </w:numPr>
        <w:spacing w:before="0" w:after="160"/>
        <w:ind w:left="360" w:hanging="270"/>
        <w:rPr>
          <w:rFonts w:cs="Calibri"/>
          <w:iCs/>
          <w:color w:val="auto"/>
          <w:lang w:val="en-US"/>
        </w:rPr>
      </w:pPr>
      <w:r>
        <w:rPr>
          <w:rFonts w:cstheme="minorHAnsi"/>
          <w:lang w:val="en-US"/>
        </w:rPr>
        <w:t>1.</w:t>
      </w:r>
      <w:r>
        <w:rPr>
          <w:rFonts w:cstheme="minorHAnsi"/>
          <w:lang w:val="en-US"/>
        </w:rPr>
        <w:tab/>
      </w:r>
      <w:r>
        <w:rPr>
          <w:rFonts w:ascii="Cambria" w:hAnsi="Cambria" w:cstheme="minorHAnsi"/>
          <w:b/>
          <w:sz w:val="28"/>
          <w:szCs w:val="28"/>
          <w:vertAlign w:val="superscript"/>
          <w:lang w:val="en-US"/>
        </w:rPr>
        <w:t>Ω,</w:t>
      </w:r>
      <w:r>
        <w:rPr>
          <w:sz w:val="28"/>
          <w:szCs w:val="28"/>
          <w:vertAlign w:val="superscript"/>
          <w:lang w:val="en-US"/>
        </w:rPr>
        <w:sym w:font="Wingdings" w:char="F02A"/>
      </w:r>
      <w:hyperlink r:id="rId62" w:history="1">
        <w:r>
          <w:rPr>
            <w:rStyle w:val="Hyperlink"/>
            <w:rFonts w:cstheme="minorHAnsi"/>
            <w:lang w:val="en-US"/>
          </w:rPr>
          <w:t xml:space="preserve">Blood vessel growth by matrix contraction (Looping angiogenesis Angiogenèse </w:t>
        </w:r>
        <w:r>
          <w:rPr>
            <w:rStyle w:val="Hyperlink"/>
            <w:rFonts w:cstheme="minorHAnsi"/>
            <w:noProof/>
            <w:lang w:val="en-US"/>
          </w:rPr>
          <w:t>d'un</w:t>
        </w:r>
        <w:r>
          <w:rPr>
            <w:rStyle w:val="Hyperlink"/>
            <w:rFonts w:cstheme="minorHAnsi"/>
            <w:lang w:val="en-US"/>
          </w:rPr>
          <w:t xml:space="preserve"> troisième type contrôlée par </w:t>
        </w:r>
        <w:r>
          <w:rPr>
            <w:rStyle w:val="Hyperlink"/>
            <w:rFonts w:cstheme="minorHAnsi"/>
            <w:noProof/>
            <w:lang w:val="en-US"/>
          </w:rPr>
          <w:t>les</w:t>
        </w:r>
        <w:r>
          <w:rPr>
            <w:rStyle w:val="Hyperlink"/>
            <w:rFonts w:cstheme="minorHAnsi"/>
            <w:lang w:val="en-US"/>
          </w:rPr>
          <w:t xml:space="preserve"> forces contractile)</w:t>
        </w:r>
      </w:hyperlink>
      <w:r>
        <w:rPr>
          <w:rStyle w:val="Hyperlink"/>
          <w:rFonts w:cstheme="minorHAnsi"/>
          <w:lang w:val="en-US"/>
        </w:rPr>
        <w:t xml:space="preserve">. </w:t>
      </w:r>
      <w:r>
        <w:rPr>
          <w:rStyle w:val="bold"/>
          <w:rFonts w:cstheme="minorHAnsi"/>
          <w:color w:val="auto"/>
          <w:lang w:val="en-US"/>
        </w:rPr>
        <w:t xml:space="preserve">Greenwood &amp; </w:t>
      </w:r>
      <w:r>
        <w:rPr>
          <w:rStyle w:val="bold"/>
          <w:rFonts w:cstheme="minorHAnsi"/>
          <w:color w:val="auto"/>
          <w:u w:val="single"/>
          <w:lang w:val="en-US"/>
        </w:rPr>
        <w:t>Kilarski WW</w:t>
      </w:r>
      <w:r>
        <w:rPr>
          <w:rFonts w:cstheme="minorHAnsi"/>
          <w:color w:val="auto"/>
          <w:sz w:val="28"/>
          <w:szCs w:val="28"/>
          <w:vertAlign w:val="superscript"/>
          <w:lang w:val="en-US"/>
        </w:rPr>
        <w:sym w:font="Wingdings" w:char="F02A"/>
      </w:r>
      <w:r>
        <w:rPr>
          <w:rStyle w:val="bold"/>
          <w:rFonts w:cstheme="minorHAnsi"/>
          <w:b/>
          <w:color w:val="auto"/>
          <w:lang w:val="en-US"/>
        </w:rPr>
        <w:t xml:space="preserve"> </w:t>
      </w:r>
      <w:r>
        <w:rPr>
          <w:rFonts w:cstheme="minorHAnsi"/>
          <w:color w:val="auto"/>
          <w:lang w:val="en-US"/>
        </w:rPr>
        <w:t>(2010)</w:t>
      </w:r>
      <w:r>
        <w:rPr>
          <w:rStyle w:val="bold"/>
          <w:rFonts w:cstheme="minorHAnsi"/>
          <w:color w:val="auto"/>
          <w:lang w:val="en-US"/>
        </w:rPr>
        <w:t xml:space="preserve"> </w:t>
      </w:r>
      <w:r>
        <w:rPr>
          <w:rFonts w:cstheme="minorHAnsi"/>
          <w:b/>
          <w:color w:val="auto"/>
          <w:lang w:val="en-US"/>
        </w:rPr>
        <w:t>Med Sci</w:t>
      </w:r>
      <w:r>
        <w:rPr>
          <w:rFonts w:cstheme="minorHAnsi"/>
          <w:color w:val="auto"/>
          <w:lang w:val="en-US"/>
        </w:rPr>
        <w:t xml:space="preserve"> (Paris)</w:t>
      </w:r>
    </w:p>
    <w:p>
      <w:pPr>
        <w:pStyle w:val="Heading3"/>
        <w:spacing w:before="240" w:after="120"/>
        <w:rPr>
          <w:lang w:val="en-US"/>
        </w:rPr>
      </w:pPr>
      <w:bookmarkStart w:id="25" w:name="_Toc509402006"/>
      <w:r>
        <w:rPr>
          <w:lang w:val="en-US"/>
        </w:rPr>
        <w:t>Publications in Preparation</w:t>
      </w:r>
      <w:bookmarkEnd w:id="25"/>
    </w:p>
    <w:p>
      <w:pPr>
        <w:pStyle w:val="Withintent"/>
        <w:tabs>
          <w:tab w:val="clear" w:pos="450"/>
          <w:tab w:val="left" w:pos="0"/>
        </w:tabs>
        <w:spacing w:before="0"/>
        <w:ind w:hanging="351"/>
        <w:rPr>
          <w:color w:val="auto"/>
          <w:lang w:val="en-US"/>
        </w:rPr>
      </w:pPr>
      <w:r>
        <w:rPr>
          <w:lang w:val="en-US"/>
        </w:rPr>
        <w:t>4.</w:t>
      </w:r>
      <w:r>
        <w:rPr>
          <w:rFonts w:cs="Calibri"/>
          <w:bCs/>
          <w:color w:val="auto"/>
          <w:sz w:val="32"/>
          <w:szCs w:val="32"/>
          <w:vertAlign w:val="superscript"/>
          <w:rtl/>
          <w:lang w:bidi="he-IL"/>
        </w:rPr>
        <w:t>א</w:t>
      </w:r>
      <w:r>
        <w:rPr>
          <w:b/>
          <w:i/>
          <w:noProof/>
          <w:color w:val="auto"/>
          <w:spacing w:val="-4"/>
          <w:lang w:val="en-US"/>
        </w:rPr>
        <w:t>Intravascular</w:t>
      </w:r>
      <w:r>
        <w:rPr>
          <w:b/>
          <w:i/>
          <w:color w:val="auto"/>
          <w:spacing w:val="-4"/>
          <w:lang w:val="en-US"/>
        </w:rPr>
        <w:t xml:space="preserve"> lymph </w:t>
      </w:r>
      <w:r>
        <w:rPr>
          <w:b/>
          <w:i/>
          <w:noProof/>
          <w:color w:val="auto"/>
          <w:spacing w:val="-4"/>
          <w:lang w:val="en-US"/>
        </w:rPr>
        <w:t>thrombosis</w:t>
      </w:r>
      <w:r>
        <w:rPr>
          <w:b/>
          <w:i/>
          <w:color w:val="auto"/>
          <w:spacing w:val="-4"/>
          <w:lang w:val="en-US"/>
        </w:rPr>
        <w:t xml:space="preserve"> blocks tissue drainage and prolongs acceptance of subcutaneous allografts</w:t>
      </w:r>
      <w:r>
        <w:rPr>
          <w:b/>
          <w:color w:val="auto"/>
          <w:spacing w:val="-4"/>
          <w:lang w:val="en-US"/>
        </w:rPr>
        <w:t xml:space="preserve">. </w:t>
      </w:r>
      <w:r>
        <w:rPr>
          <w:color w:val="auto"/>
          <w:u w:val="single"/>
          <w:lang w:val="en-US"/>
        </w:rPr>
        <w:t>Kilarski WW</w:t>
      </w:r>
      <w:r>
        <w:rPr>
          <w:rFonts w:cstheme="minorHAnsi"/>
          <w:color w:val="auto"/>
          <w:sz w:val="28"/>
          <w:szCs w:val="28"/>
          <w:vertAlign w:val="superscript"/>
        </w:rPr>
        <w:sym w:font="Wingdings" w:char="F02A"/>
      </w:r>
      <w:r>
        <w:rPr>
          <w:color w:val="auto"/>
          <w:lang w:val="en-US"/>
        </w:rPr>
        <w:t>, Wachowska, Muchowicz, Hirosue and Swartz MA (Final manuscript)</w:t>
      </w:r>
    </w:p>
    <w:p>
      <w:pPr>
        <w:spacing w:before="0"/>
        <w:ind w:left="270" w:hanging="180"/>
        <w:rPr>
          <w:color w:val="auto"/>
          <w:spacing w:val="-4"/>
          <w:lang w:val="en-US"/>
        </w:rPr>
      </w:pPr>
      <w:r>
        <w:rPr>
          <w:noProof/>
          <w:color w:val="auto"/>
          <w:lang w:val="en-US"/>
        </w:rPr>
        <w:t>3.</w:t>
      </w:r>
      <w:r>
        <w:rPr>
          <w:rFonts w:cs="Calibri"/>
          <w:bCs/>
          <w:noProof/>
          <w:color w:val="auto"/>
          <w:sz w:val="32"/>
          <w:szCs w:val="32"/>
          <w:vertAlign w:val="superscript"/>
          <w:rtl/>
          <w:lang w:val="en-US" w:bidi="he-IL"/>
        </w:rPr>
        <w:t>א</w:t>
      </w:r>
      <w:r>
        <w:rPr>
          <w:i/>
          <w:noProof/>
          <w:color w:val="auto"/>
          <w:lang w:val="en-US"/>
        </w:rPr>
        <w:t>E</w:t>
      </w:r>
      <w:r>
        <w:rPr>
          <w:i/>
          <w:noProof/>
          <w:color w:val="auto"/>
          <w:spacing w:val="-4"/>
          <w:lang w:val="en-US"/>
        </w:rPr>
        <w:t>pimorphic regeneration</w:t>
      </w:r>
      <w:r>
        <w:rPr>
          <w:i/>
          <w:color w:val="auto"/>
          <w:spacing w:val="-4"/>
          <w:lang w:val="en-US"/>
        </w:rPr>
        <w:t xml:space="preserve"> after limited lymphatic vessels injury. </w:t>
      </w:r>
      <w:r>
        <w:rPr>
          <w:color w:val="auto"/>
          <w:u w:val="single"/>
          <w:lang w:val="en-US"/>
        </w:rPr>
        <w:t>Kilarski WW</w:t>
      </w:r>
      <w:r>
        <w:rPr>
          <w:rFonts w:cstheme="minorHAnsi"/>
          <w:color w:val="auto"/>
          <w:sz w:val="28"/>
          <w:szCs w:val="28"/>
          <w:vertAlign w:val="superscript"/>
          <w:lang w:val="en-US"/>
        </w:rPr>
        <w:sym w:font="Wingdings" w:char="F02A"/>
      </w:r>
      <w:r>
        <w:rPr>
          <w:color w:val="auto"/>
          <w:lang w:val="en-US"/>
        </w:rPr>
        <w:t xml:space="preserve">, </w:t>
      </w:r>
      <w:r>
        <w:rPr>
          <w:noProof/>
          <w:color w:val="auto"/>
          <w:spacing w:val="-4"/>
          <w:lang w:val="en-US"/>
        </w:rPr>
        <w:t>Wachowska</w:t>
      </w:r>
      <w:r>
        <w:rPr>
          <w:color w:val="auto"/>
          <w:spacing w:val="-4"/>
          <w:lang w:val="en-US"/>
        </w:rPr>
        <w:t>, Muchowicz &amp; Swartz MA</w:t>
      </w:r>
    </w:p>
    <w:p>
      <w:pPr>
        <w:spacing w:before="0"/>
        <w:ind w:left="270" w:hanging="180"/>
        <w:rPr>
          <w:color w:val="auto"/>
          <w:lang w:val="en-US"/>
        </w:rPr>
      </w:pPr>
      <w:r>
        <w:rPr>
          <w:color w:val="auto"/>
          <w:lang w:val="en-US"/>
        </w:rPr>
        <w:t>2.</w:t>
      </w:r>
      <w:r>
        <w:rPr>
          <w:rFonts w:cs="Calibri"/>
          <w:b/>
          <w:bCs/>
          <w:color w:val="auto"/>
          <w:sz w:val="32"/>
          <w:szCs w:val="32"/>
          <w:vertAlign w:val="superscript"/>
          <w:rtl/>
          <w:lang w:val="en-US" w:bidi="he-IL"/>
        </w:rPr>
        <w:t>א</w:t>
      </w:r>
      <w:r>
        <w:rPr>
          <w:i/>
          <w:color w:val="auto"/>
          <w:lang w:val="en-US"/>
        </w:rPr>
        <w:t xml:space="preserve">Differential regulation of lymph flow and leukocyte trafficking by inflammation. </w:t>
      </w:r>
      <w:r>
        <w:rPr>
          <w:color w:val="auto"/>
          <w:u w:val="single"/>
          <w:lang w:val="en-US"/>
        </w:rPr>
        <w:t>Kilarski WW</w:t>
      </w:r>
      <w:r>
        <w:rPr>
          <w:rFonts w:cstheme="minorHAnsi"/>
          <w:color w:val="auto"/>
          <w:sz w:val="28"/>
          <w:szCs w:val="28"/>
          <w:vertAlign w:val="superscript"/>
          <w:lang w:val="en-US"/>
        </w:rPr>
        <w:sym w:font="Wingdings" w:char="F02A"/>
      </w:r>
      <w:r>
        <w:rPr>
          <w:noProof/>
          <w:color w:val="auto"/>
          <w:lang w:val="en-US"/>
        </w:rPr>
        <w:t xml:space="preserve"> &amp;</w:t>
      </w:r>
      <w:r>
        <w:rPr>
          <w:color w:val="auto"/>
          <w:lang w:val="en-US"/>
        </w:rPr>
        <w:t xml:space="preserve"> Swartz MA</w:t>
      </w:r>
      <w:r>
        <w:rPr>
          <w:rFonts w:cstheme="minorHAnsi"/>
          <w:color w:val="auto"/>
          <w:sz w:val="28"/>
          <w:szCs w:val="28"/>
          <w:vertAlign w:val="superscript"/>
          <w:lang w:val="en-US"/>
        </w:rPr>
        <w:sym w:font="Wingdings" w:char="F02A"/>
      </w:r>
    </w:p>
    <w:p>
      <w:pPr>
        <w:spacing w:before="0"/>
        <w:ind w:left="270" w:hanging="180"/>
        <w:rPr>
          <w:color w:val="auto"/>
          <w:lang w:val="en-US"/>
        </w:rPr>
      </w:pPr>
      <w:bookmarkStart w:id="26" w:name="_Ref350926327"/>
      <w:r>
        <w:rPr>
          <w:color w:val="auto"/>
          <w:lang w:val="en-US"/>
        </w:rPr>
        <w:t>1.</w:t>
      </w:r>
      <w:r>
        <w:rPr>
          <w:rFonts w:cs="Calibri"/>
          <w:b/>
          <w:bCs/>
          <w:color w:val="auto"/>
          <w:sz w:val="32"/>
          <w:szCs w:val="32"/>
          <w:vertAlign w:val="superscript"/>
          <w:rtl/>
          <w:lang w:val="en-US" w:bidi="he-IL"/>
        </w:rPr>
        <w:t>א</w:t>
      </w:r>
      <w:r>
        <w:rPr>
          <w:i/>
          <w:color w:val="auto"/>
          <w:lang w:val="en-US"/>
        </w:rPr>
        <w:t xml:space="preserve">Interaction of metastasis and leukocytes with tumor scaffold determines the type and speed of metastatic spread. </w:t>
      </w:r>
      <w:r>
        <w:rPr>
          <w:color w:val="auto"/>
          <w:u w:val="single"/>
          <w:lang w:val="en-US"/>
        </w:rPr>
        <w:t>Kilarski WW</w:t>
      </w:r>
      <w:r>
        <w:rPr>
          <w:rFonts w:cstheme="minorHAnsi"/>
          <w:color w:val="auto"/>
          <w:sz w:val="28"/>
          <w:szCs w:val="28"/>
          <w:vertAlign w:val="superscript"/>
          <w:lang w:val="en-US"/>
        </w:rPr>
        <w:sym w:font="Wingdings" w:char="F02A"/>
      </w:r>
      <w:r>
        <w:rPr>
          <w:color w:val="auto"/>
          <w:lang w:val="en-US"/>
        </w:rPr>
        <w:t>, Lund &amp; Swartz MA</w:t>
      </w:r>
      <w:r>
        <w:rPr>
          <w:rFonts w:cstheme="minorHAnsi"/>
          <w:color w:val="auto"/>
          <w:sz w:val="28"/>
          <w:szCs w:val="28"/>
          <w:vertAlign w:val="superscript"/>
          <w:lang w:val="en-US"/>
        </w:rPr>
        <w:sym w:font="Wingdings" w:char="F02A"/>
      </w:r>
      <w:bookmarkEnd w:id="26"/>
    </w:p>
    <w:p>
      <w:pPr>
        <w:pStyle w:val="Heading2"/>
        <w:spacing w:before="240" w:after="240"/>
      </w:pPr>
      <w:bookmarkStart w:id="27" w:name="_Toc509402017"/>
      <w:r>
        <w:t>Awards and Highlights</w:t>
      </w:r>
      <w:bookmarkEnd w:id="27"/>
    </w:p>
    <w:p>
      <w:pPr>
        <w:spacing w:before="0"/>
        <w:ind w:left="720" w:hanging="720"/>
        <w:rPr>
          <w:color w:val="auto"/>
          <w:spacing w:val="-2"/>
          <w:lang w:val="en-US"/>
        </w:rPr>
      </w:pPr>
      <w:r>
        <w:rPr>
          <w:b/>
          <w:bCs/>
          <w:color w:val="auto"/>
          <w:lang w:val="en-US"/>
        </w:rPr>
        <w:t>2017</w:t>
      </w:r>
      <w:r>
        <w:rPr>
          <w:color w:val="auto"/>
          <w:lang w:val="en-US"/>
        </w:rPr>
        <w:tab/>
      </w:r>
      <w:r>
        <w:rPr>
          <w:color w:val="auto"/>
          <w:spacing w:val="-2"/>
          <w:lang w:val="en-US"/>
        </w:rPr>
        <w:t>Cover image of the April edition</w:t>
      </w:r>
      <w:r>
        <w:rPr>
          <w:spacing w:val="-2"/>
          <w:lang w:val="en-US"/>
        </w:rPr>
        <w:t xml:space="preserve"> </w:t>
      </w:r>
      <w:hyperlink r:id="rId63" w:history="1">
        <w:r>
          <w:rPr>
            <w:rStyle w:val="Hyperlink"/>
            <w:spacing w:val="-2"/>
            <w:lang w:val="en-US"/>
          </w:rPr>
          <w:t>Circulation Research</w:t>
        </w:r>
      </w:hyperlink>
      <w:r>
        <w:rPr>
          <w:rStyle w:val="Hyperlink"/>
          <w:spacing w:val="-2"/>
          <w:lang w:val="en-US"/>
        </w:rPr>
        <w:t xml:space="preserve"> </w:t>
      </w:r>
      <w:r>
        <w:rPr>
          <w:color w:val="auto"/>
          <w:spacing w:val="-2"/>
          <w:lang w:val="en-US"/>
        </w:rPr>
        <w:t xml:space="preserve">(the </w:t>
      </w:r>
      <w:r>
        <w:rPr>
          <w:noProof/>
          <w:color w:val="auto"/>
          <w:spacing w:val="-2"/>
          <w:lang w:val="en-US"/>
        </w:rPr>
        <w:t>highlight</w:t>
      </w:r>
      <w:r>
        <w:rPr>
          <w:color w:val="auto"/>
          <w:spacing w:val="-2"/>
          <w:lang w:val="en-US"/>
        </w:rPr>
        <w:t xml:space="preserve"> of the </w:t>
      </w:r>
      <w:hyperlink r:id="rId64" w:history="1">
        <w:r>
          <w:rPr>
            <w:color w:val="0000FF"/>
            <w:spacing w:val="-2"/>
            <w:lang w:val="en-US"/>
          </w:rPr>
          <w:t>article</w:t>
        </w:r>
      </w:hyperlink>
      <w:r>
        <w:rPr>
          <w:color w:val="0000FF"/>
          <w:spacing w:val="-2"/>
          <w:lang w:val="en-US"/>
        </w:rPr>
        <w:t xml:space="preserve"> </w:t>
      </w:r>
      <w:r>
        <w:rPr>
          <w:color w:val="auto"/>
          <w:spacing w:val="-2"/>
          <w:lang w:val="en-US"/>
        </w:rPr>
        <w:t>published in the same issue)</w:t>
      </w:r>
    </w:p>
    <w:p>
      <w:pPr>
        <w:spacing w:before="0"/>
        <w:ind w:left="720" w:hanging="720"/>
        <w:rPr>
          <w:color w:val="auto"/>
          <w:lang w:val="en-US"/>
        </w:rPr>
      </w:pPr>
      <w:r>
        <w:rPr>
          <w:b/>
          <w:bCs/>
          <w:color w:val="auto"/>
          <w:lang w:val="en-US"/>
        </w:rPr>
        <w:t>2016</w:t>
      </w:r>
      <w:r>
        <w:rPr>
          <w:color w:val="auto"/>
          <w:lang w:val="en-US"/>
        </w:rPr>
        <w:tab/>
        <w:t xml:space="preserve">Cover image of the November edition of </w:t>
      </w:r>
      <w:hyperlink r:id="rId65" w:history="1">
        <w:r>
          <w:rPr>
            <w:rStyle w:val="Hyperlink"/>
            <w:lang w:val="en-US"/>
          </w:rPr>
          <w:t>Arteriosclerosis, Thrombosis and Vascular Biology</w:t>
        </w:r>
      </w:hyperlink>
      <w:r>
        <w:rPr>
          <w:lang w:val="en-US"/>
        </w:rPr>
        <w:t xml:space="preserve"> </w:t>
      </w:r>
      <w:r>
        <w:rPr>
          <w:color w:val="auto"/>
          <w:lang w:val="en-US"/>
        </w:rPr>
        <w:t>journal</w:t>
      </w:r>
    </w:p>
    <w:p>
      <w:pPr>
        <w:spacing w:before="0"/>
        <w:ind w:left="720" w:hanging="720"/>
        <w:rPr>
          <w:lang w:val="en-US"/>
        </w:rPr>
      </w:pPr>
      <w:r>
        <w:rPr>
          <w:b/>
          <w:bCs/>
          <w:color w:val="auto"/>
          <w:lang w:val="en-US"/>
        </w:rPr>
        <w:t>2014</w:t>
      </w:r>
      <w:r>
        <w:rPr>
          <w:color w:val="auto"/>
          <w:lang w:val="en-US"/>
        </w:rPr>
        <w:tab/>
      </w:r>
      <w:hyperlink r:id="rId66" w:history="1">
        <w:r>
          <w:rPr>
            <w:color w:val="auto"/>
            <w:lang w:val="en-US"/>
          </w:rPr>
          <w:t>Cover image</w:t>
        </w:r>
      </w:hyperlink>
      <w:r>
        <w:rPr>
          <w:color w:val="auto"/>
          <w:lang w:val="en-US"/>
        </w:rPr>
        <w:t xml:space="preserve"> of the </w:t>
      </w:r>
      <w:r>
        <w:rPr>
          <w:noProof/>
          <w:color w:val="auto"/>
          <w:lang w:val="en-US"/>
        </w:rPr>
        <w:t>academic</w:t>
      </w:r>
      <w:r>
        <w:rPr>
          <w:color w:val="auto"/>
          <w:lang w:val="en-US"/>
        </w:rPr>
        <w:t xml:space="preserve"> book: </w:t>
      </w:r>
      <w:hyperlink r:id="rId67" w:history="1">
        <w:r>
          <w:rPr>
            <w:rStyle w:val="Hyperlink"/>
            <w:bCs/>
            <w:lang w:val="en-US"/>
          </w:rPr>
          <w:t>Immunology: Basic problems and current status</w:t>
        </w:r>
      </w:hyperlink>
      <w:r>
        <w:rPr>
          <w:lang w:val="en-US"/>
        </w:rPr>
        <w:t xml:space="preserve"> </w:t>
      </w:r>
    </w:p>
    <w:p>
      <w:pPr>
        <w:spacing w:before="0"/>
        <w:ind w:left="720" w:hanging="720"/>
        <w:rPr>
          <w:bCs/>
          <w:lang w:val="en-US"/>
        </w:rPr>
      </w:pPr>
      <w:r>
        <w:rPr>
          <w:b/>
          <w:bCs/>
          <w:color w:val="auto"/>
          <w:lang w:val="en-US"/>
        </w:rPr>
        <w:t>2014</w:t>
      </w:r>
      <w:r>
        <w:rPr>
          <w:color w:val="auto"/>
          <w:lang w:val="en-US"/>
        </w:rPr>
        <w:tab/>
        <w:t xml:space="preserve">Cover image of the </w:t>
      </w:r>
      <w:r>
        <w:rPr>
          <w:noProof/>
          <w:color w:val="auto"/>
          <w:lang w:val="en-US"/>
        </w:rPr>
        <w:t>special</w:t>
      </w:r>
      <w:r>
        <w:rPr>
          <w:color w:val="auto"/>
          <w:lang w:val="en-US"/>
        </w:rPr>
        <w:t xml:space="preserve"> issue of the </w:t>
      </w:r>
      <w:hyperlink r:id="rId68" w:history="1">
        <w:r>
          <w:rPr>
            <w:rStyle w:val="Hyperlink"/>
            <w:bCs/>
            <w:lang w:val="en-US"/>
          </w:rPr>
          <w:t>Cancer Immunology Research</w:t>
        </w:r>
      </w:hyperlink>
    </w:p>
    <w:p>
      <w:pPr>
        <w:spacing w:before="0"/>
        <w:ind w:left="720" w:hanging="720"/>
        <w:rPr>
          <w:lang w:val="en-US"/>
        </w:rPr>
      </w:pPr>
      <w:r>
        <w:rPr>
          <w:b/>
          <w:bCs/>
          <w:color w:val="auto"/>
          <w:lang w:val="en-US"/>
        </w:rPr>
        <w:t>2014</w:t>
      </w:r>
      <w:r>
        <w:rPr>
          <w:color w:val="auto"/>
          <w:lang w:val="en-US"/>
        </w:rPr>
        <w:tab/>
        <w:t xml:space="preserve">Cover image of the </w:t>
      </w:r>
      <w:r>
        <w:rPr>
          <w:noProof/>
          <w:color w:val="auto"/>
          <w:lang w:val="en-US"/>
        </w:rPr>
        <w:t>special</w:t>
      </w:r>
      <w:r>
        <w:rPr>
          <w:color w:val="auto"/>
          <w:lang w:val="en-US"/>
        </w:rPr>
        <w:t xml:space="preserve"> issue of the</w:t>
      </w:r>
      <w:r>
        <w:rPr>
          <w:bCs/>
          <w:color w:val="auto"/>
          <w:lang w:val="en-US"/>
        </w:rPr>
        <w:t xml:space="preserve"> </w:t>
      </w:r>
      <w:hyperlink r:id="rId69" w:history="1">
        <w:r>
          <w:rPr>
            <w:rStyle w:val="Hyperlink"/>
            <w:bCs/>
            <w:lang w:val="en-US"/>
          </w:rPr>
          <w:t>Angiogenesis J: Lymphangiogenesis in Inflammation</w:t>
        </w:r>
      </w:hyperlink>
    </w:p>
    <w:p>
      <w:pPr>
        <w:spacing w:before="0"/>
        <w:ind w:left="720" w:hanging="720"/>
        <w:rPr>
          <w:color w:val="auto"/>
          <w:lang w:val="en-US"/>
        </w:rPr>
      </w:pPr>
      <w:r>
        <w:rPr>
          <w:b/>
          <w:bCs/>
          <w:color w:val="auto"/>
          <w:lang w:val="en-US"/>
        </w:rPr>
        <w:t>2013</w:t>
      </w:r>
      <w:r>
        <w:rPr>
          <w:color w:val="auto"/>
          <w:lang w:val="en-US"/>
        </w:rPr>
        <w:tab/>
        <w:t xml:space="preserve">Cover image for </w:t>
      </w:r>
      <w:r>
        <w:rPr>
          <w:b/>
          <w:bCs/>
          <w:color w:val="auto"/>
          <w:lang w:val="en-US"/>
        </w:rPr>
        <w:t>GRC Science</w:t>
      </w:r>
      <w:r>
        <w:rPr>
          <w:color w:val="auto"/>
          <w:lang w:val="en-US"/>
        </w:rPr>
        <w:t xml:space="preserve"> advertisement</w:t>
      </w:r>
    </w:p>
    <w:p>
      <w:pPr>
        <w:spacing w:before="0"/>
        <w:ind w:left="720" w:hanging="720"/>
        <w:rPr>
          <w:lang w:val="en-US"/>
        </w:rPr>
      </w:pPr>
      <w:r>
        <w:rPr>
          <w:b/>
          <w:bCs/>
          <w:color w:val="auto"/>
          <w:lang w:val="en-US"/>
        </w:rPr>
        <w:t>2013</w:t>
      </w:r>
      <w:r>
        <w:rPr>
          <w:lang w:val="en-US"/>
        </w:rPr>
        <w:tab/>
      </w:r>
      <w:hyperlink r:id="rId70" w:history="1">
        <w:r>
          <w:rPr>
            <w:rFonts w:cs="Gentium Plus"/>
            <w:color w:val="0000FF"/>
            <w:lang w:val="en-US"/>
          </w:rPr>
          <w:t>Cover image</w:t>
        </w:r>
      </w:hyperlink>
      <w:r>
        <w:rPr>
          <w:lang w:val="en-US"/>
        </w:rPr>
        <w:t xml:space="preserve"> </w:t>
      </w:r>
      <w:r>
        <w:rPr>
          <w:color w:val="auto"/>
          <w:lang w:val="en-US"/>
        </w:rPr>
        <w:t xml:space="preserve">of the review </w:t>
      </w:r>
      <w:hyperlink r:id="rId71" w:history="1">
        <w:r>
          <w:rPr>
            <w:rFonts w:cs="Gentium Plus"/>
            <w:color w:val="0000FF"/>
            <w:lang w:val="en-US"/>
          </w:rPr>
          <w:t>Tracking metastasis and tricking cancer</w:t>
        </w:r>
      </w:hyperlink>
      <w:r>
        <w:rPr>
          <w:lang w:val="en-US"/>
        </w:rPr>
        <w:t xml:space="preserve"> </w:t>
      </w:r>
      <w:r>
        <w:rPr>
          <w:color w:val="auto"/>
          <w:lang w:val="en-US"/>
        </w:rPr>
        <w:t>(</w:t>
      </w:r>
      <w:r>
        <w:rPr>
          <w:b/>
          <w:bCs/>
          <w:color w:val="auto"/>
          <w:lang w:val="en-US"/>
        </w:rPr>
        <w:t>Nature</w:t>
      </w:r>
      <w:r>
        <w:rPr>
          <w:color w:val="auto"/>
          <w:lang w:val="en-US"/>
        </w:rPr>
        <w:t xml:space="preserve">) featuring our </w:t>
      </w:r>
      <w:hyperlink r:id="rId72" w:history="1">
        <w:r>
          <w:rPr>
            <w:color w:val="0000FF"/>
            <w:lang w:val="en-US"/>
          </w:rPr>
          <w:t>intravital technique</w:t>
        </w:r>
      </w:hyperlink>
    </w:p>
    <w:p>
      <w:pPr>
        <w:spacing w:before="0"/>
        <w:ind w:left="720" w:hanging="720"/>
        <w:rPr>
          <w:color w:val="auto"/>
          <w:lang w:val="en-US"/>
        </w:rPr>
      </w:pPr>
      <w:r>
        <w:rPr>
          <w:b/>
          <w:bCs/>
          <w:color w:val="auto"/>
          <w:lang w:val="en-US"/>
        </w:rPr>
        <w:t>2012</w:t>
      </w:r>
      <w:r>
        <w:rPr>
          <w:color w:val="auto"/>
          <w:lang w:val="en-US"/>
        </w:rPr>
        <w:tab/>
        <w:t>Cover image of the website</w:t>
      </w:r>
      <w:r>
        <w:rPr>
          <w:b/>
          <w:bCs/>
          <w:color w:val="auto"/>
          <w:lang w:val="en-US"/>
        </w:rPr>
        <w:t xml:space="preserve"> American Society for Photobiology</w:t>
      </w:r>
    </w:p>
    <w:p>
      <w:pPr>
        <w:spacing w:before="0"/>
        <w:ind w:left="720" w:hanging="720"/>
        <w:rPr>
          <w:color w:val="auto"/>
          <w:lang w:val="en-US"/>
        </w:rPr>
      </w:pPr>
      <w:r>
        <w:rPr>
          <w:b/>
          <w:bCs/>
          <w:color w:val="auto"/>
          <w:lang w:val="en-US"/>
        </w:rPr>
        <w:t>2012</w:t>
      </w:r>
      <w:r>
        <w:rPr>
          <w:lang w:val="en-US"/>
        </w:rPr>
        <w:tab/>
      </w:r>
      <w:hyperlink r:id="rId73" w:history="1">
        <w:r>
          <w:rPr>
            <w:rStyle w:val="Hyperlink"/>
            <w:u w:val="words"/>
            <w:lang w:val="en-US"/>
          </w:rPr>
          <w:t>Andrew Moisoff Young Investigator Award</w:t>
        </w:r>
      </w:hyperlink>
      <w:r>
        <w:rPr>
          <w:lang w:val="en-US"/>
        </w:rPr>
        <w:t xml:space="preserve"> </w:t>
      </w:r>
      <w:r>
        <w:rPr>
          <w:color w:val="auto"/>
          <w:lang w:val="en-US"/>
        </w:rPr>
        <w:t xml:space="preserve">for the best talk at the </w:t>
      </w:r>
      <w:r>
        <w:rPr>
          <w:b/>
          <w:bCs/>
          <w:color w:val="auto"/>
          <w:lang w:val="en-US"/>
        </w:rPr>
        <w:t>GRC on Lymphatics</w:t>
      </w:r>
    </w:p>
    <w:p>
      <w:pPr>
        <w:spacing w:before="0"/>
        <w:ind w:left="720" w:hanging="720"/>
        <w:rPr>
          <w:lang w:val="en-US"/>
        </w:rPr>
      </w:pPr>
      <w:r>
        <w:rPr>
          <w:b/>
          <w:bCs/>
          <w:lang w:val="en-US"/>
        </w:rPr>
        <w:t>2011</w:t>
      </w:r>
      <w:r>
        <w:rPr>
          <w:lang w:val="en-US"/>
        </w:rPr>
        <w:tab/>
        <w:t xml:space="preserve">Winning </w:t>
      </w:r>
      <w:r>
        <w:rPr>
          <w:noProof/>
          <w:lang w:val="en-US"/>
        </w:rPr>
        <w:t>image</w:t>
      </w:r>
      <w:r>
        <w:rPr>
          <w:lang w:val="en-US"/>
        </w:rPr>
        <w:t xml:space="preserve"> in </w:t>
      </w:r>
      <w:hyperlink r:id="rId74" w:history="1">
        <w:r>
          <w:rPr>
            <w:rFonts w:cs="Gentium Plus"/>
            <w:color w:val="0000FF"/>
            <w:lang w:val="en-US"/>
          </w:rPr>
          <w:t>Nikon Small World Contest</w:t>
        </w:r>
      </w:hyperlink>
    </w:p>
    <w:p>
      <w:pPr>
        <w:spacing w:before="0"/>
        <w:ind w:left="720" w:hanging="720"/>
        <w:rPr>
          <w:lang w:val="en-US"/>
        </w:rPr>
      </w:pPr>
      <w:r>
        <w:rPr>
          <w:b/>
          <w:color w:val="auto"/>
          <w:lang w:val="en-US"/>
        </w:rPr>
        <w:t>2009</w:t>
      </w:r>
      <w:r>
        <w:rPr>
          <w:b/>
          <w:color w:val="auto"/>
          <w:lang w:val="en-US"/>
        </w:rPr>
        <w:tab/>
        <w:t>Poster award</w:t>
      </w:r>
      <w:r>
        <w:rPr>
          <w:color w:val="auto"/>
          <w:lang w:val="en-US"/>
        </w:rPr>
        <w:t xml:space="preserve">: </w:t>
      </w:r>
      <w:r>
        <w:rPr>
          <w:b/>
          <w:bCs/>
          <w:color w:val="auto"/>
          <w:lang w:val="en-US"/>
        </w:rPr>
        <w:t>Angiogenesis Gordon Research Conference</w:t>
      </w:r>
      <w:r>
        <w:rPr>
          <w:color w:val="auto"/>
          <w:lang w:val="en-US"/>
        </w:rPr>
        <w:t>, Salve Regina University</w:t>
      </w:r>
    </w:p>
    <w:p>
      <w:pPr>
        <w:spacing w:before="0"/>
        <w:ind w:left="720" w:hanging="720"/>
        <w:rPr>
          <w:lang w:val="en-US"/>
        </w:rPr>
      </w:pPr>
      <w:r>
        <w:rPr>
          <w:b/>
          <w:color w:val="auto"/>
          <w:lang w:val="en-US"/>
        </w:rPr>
        <w:t>2009</w:t>
      </w:r>
      <w:r>
        <w:rPr>
          <w:b/>
          <w:color w:val="auto"/>
          <w:lang w:val="en-US"/>
        </w:rPr>
        <w:tab/>
        <w:t xml:space="preserve">Nature Medicine </w:t>
      </w:r>
      <w:r>
        <w:rPr>
          <w:color w:val="auto"/>
          <w:lang w:val="en-US"/>
        </w:rPr>
        <w:t xml:space="preserve">News and Views: Benest and Augustin. </w:t>
      </w:r>
      <w:hyperlink r:id="rId75" w:history="1">
        <w:r>
          <w:rPr>
            <w:rFonts w:cs="Gentium Plus"/>
            <w:noProof/>
            <w:color w:val="0000FF"/>
            <w:lang w:val="en-US"/>
          </w:rPr>
          <w:t>Tension</w:t>
        </w:r>
        <w:r>
          <w:rPr>
            <w:rFonts w:cs="Gentium Plus"/>
            <w:color w:val="0000FF"/>
            <w:lang w:val="en-US"/>
          </w:rPr>
          <w:t xml:space="preserve"> in the vasculature</w:t>
        </w:r>
      </w:hyperlink>
      <w:r>
        <w:rPr>
          <w:lang w:val="en-US"/>
        </w:rPr>
        <w:t xml:space="preserve">; </w:t>
      </w:r>
      <w:r>
        <w:rPr>
          <w:b/>
          <w:color w:val="auto"/>
          <w:lang w:val="en-US"/>
        </w:rPr>
        <w:t xml:space="preserve">Science Editorial's choice, </w:t>
      </w:r>
      <w:r>
        <w:rPr>
          <w:color w:val="auto"/>
          <w:lang w:val="en-US"/>
        </w:rPr>
        <w:t xml:space="preserve">Gilbert Chin: </w:t>
      </w:r>
      <w:hyperlink r:id="rId76" w:history="1">
        <w:r>
          <w:rPr>
            <w:rFonts w:cs="Gentium Plus"/>
            <w:color w:val="0000FF"/>
            <w:lang w:val="en-US"/>
          </w:rPr>
          <w:t>Tissue-Engineering Principals</w:t>
        </w:r>
      </w:hyperlink>
      <w:r>
        <w:rPr>
          <w:lang w:val="en-US"/>
        </w:rPr>
        <w:t xml:space="preserve">; </w:t>
      </w:r>
      <w:r>
        <w:rPr>
          <w:color w:val="auto"/>
          <w:lang w:val="en-US"/>
        </w:rPr>
        <w:t xml:space="preserve">Research </w:t>
      </w:r>
      <w:r>
        <w:rPr>
          <w:noProof/>
          <w:color w:val="auto"/>
          <w:lang w:val="en-US"/>
        </w:rPr>
        <w:t>Highlight</w:t>
      </w:r>
      <w:r>
        <w:rPr>
          <w:color w:val="auto"/>
          <w:lang w:val="en-US"/>
        </w:rPr>
        <w:t xml:space="preserve"> in </w:t>
      </w:r>
      <w:r>
        <w:rPr>
          <w:b/>
          <w:color w:val="auto"/>
          <w:lang w:val="en-US"/>
        </w:rPr>
        <w:t>Nature Biotechnology</w:t>
      </w:r>
      <w:r>
        <w:rPr>
          <w:color w:val="auto"/>
          <w:lang w:val="en-US"/>
        </w:rPr>
        <w:t xml:space="preserve"> </w:t>
      </w:r>
      <w:hyperlink r:id="rId77" w:history="1">
        <w:r>
          <w:rPr>
            <w:rFonts w:cs="Gentium Plus"/>
            <w:color w:val="0000FF"/>
            <w:lang w:val="en-US"/>
          </w:rPr>
          <w:t>Wound Healing by force</w:t>
        </w:r>
      </w:hyperlink>
      <w:r>
        <w:rPr>
          <w:lang w:val="en-US"/>
        </w:rPr>
        <w:t xml:space="preserve">; </w:t>
      </w:r>
      <w:r>
        <w:rPr>
          <w:color w:val="auto"/>
          <w:lang w:val="en-US"/>
        </w:rPr>
        <w:t xml:space="preserve">Yasuko Iwakiri and Andrius Kazlauskas highlights </w:t>
      </w:r>
      <w:r>
        <w:rPr>
          <w:lang w:val="en-US"/>
        </w:rPr>
        <w:t xml:space="preserve">in </w:t>
      </w:r>
      <w:hyperlink r:id="rId78" w:history="1">
        <w:r>
          <w:rPr>
            <w:rFonts w:cs="Gentium Plus"/>
            <w:color w:val="0000FF"/>
            <w:lang w:val="en-US"/>
          </w:rPr>
          <w:t>Faculty of 1000</w:t>
        </w:r>
      </w:hyperlink>
    </w:p>
    <w:p>
      <w:pPr>
        <w:spacing w:before="0"/>
        <w:ind w:left="720" w:hanging="720"/>
        <w:rPr>
          <w:lang w:val="en-US"/>
        </w:rPr>
      </w:pPr>
      <w:r>
        <w:rPr>
          <w:b/>
          <w:bCs/>
          <w:color w:val="auto"/>
          <w:lang w:val="en-US"/>
        </w:rPr>
        <w:t>2002</w:t>
      </w:r>
      <w:r>
        <w:rPr>
          <w:color w:val="auto"/>
          <w:lang w:val="en-US"/>
        </w:rPr>
        <w:tab/>
      </w:r>
      <w:r>
        <w:rPr>
          <w:color w:val="auto"/>
          <w:spacing w:val="-4"/>
          <w:lang w:val="en-US"/>
        </w:rPr>
        <w:t xml:space="preserve">On-cover highlights in </w:t>
      </w:r>
      <w:hyperlink r:id="rId79" w:history="1">
        <w:r>
          <w:rPr>
            <w:rStyle w:val="Hyperlink"/>
            <w:spacing w:val="-4"/>
            <w:lang w:val="en-US"/>
          </w:rPr>
          <w:t>Annual Journal of Uppsala University (Horizons)</w:t>
        </w:r>
      </w:hyperlink>
      <w:r>
        <w:rPr>
          <w:spacing w:val="-4"/>
          <w:lang w:val="en-US"/>
        </w:rPr>
        <w:t xml:space="preserve"> </w:t>
      </w:r>
      <w:r>
        <w:rPr>
          <w:color w:val="auto"/>
          <w:spacing w:val="-4"/>
          <w:lang w:val="en-US"/>
        </w:rPr>
        <w:t>on the perspectives of angiogenesis studies</w:t>
      </w:r>
    </w:p>
    <w:p>
      <w:pPr>
        <w:spacing w:before="0"/>
        <w:ind w:left="720" w:hanging="720"/>
        <w:rPr>
          <w:color w:val="auto"/>
          <w:lang w:val="en-US"/>
        </w:rPr>
      </w:pPr>
      <w:r>
        <w:rPr>
          <w:b/>
          <w:color w:val="auto"/>
          <w:lang w:val="en-US"/>
        </w:rPr>
        <w:t>2001</w:t>
      </w:r>
      <w:r>
        <w:rPr>
          <w:b/>
          <w:color w:val="auto"/>
          <w:lang w:val="en-US"/>
        </w:rPr>
        <w:tab/>
        <w:t>Experimental Cell Research</w:t>
      </w:r>
      <w:r>
        <w:rPr>
          <w:color w:val="auto"/>
          <w:lang w:val="en-US"/>
        </w:rPr>
        <w:t xml:space="preserve"> highlighting of the </w:t>
      </w:r>
      <w:hyperlink r:id="rId80" w:history="1">
        <w:r>
          <w:rPr>
            <w:rStyle w:val="Hyperlink"/>
            <w:lang w:val="en-US"/>
          </w:rPr>
          <w:t xml:space="preserve">article </w:t>
        </w:r>
      </w:hyperlink>
      <w:r>
        <w:rPr>
          <w:color w:val="auto"/>
          <w:lang w:val="en-US"/>
        </w:rPr>
        <w:t>published in the same issue</w:t>
      </w:r>
    </w:p>
    <w:p>
      <w:pPr>
        <w:spacing w:before="0"/>
        <w:ind w:left="720" w:hanging="720"/>
        <w:rPr>
          <w:color w:val="auto"/>
          <w:lang w:val="en-US"/>
        </w:rPr>
      </w:pPr>
      <w:r>
        <w:rPr>
          <w:b/>
          <w:color w:val="auto"/>
          <w:lang w:val="en-US"/>
        </w:rPr>
        <w:t>1998</w:t>
      </w:r>
      <w:r>
        <w:rPr>
          <w:b/>
          <w:color w:val="auto"/>
          <w:lang w:val="en-US"/>
        </w:rPr>
        <w:tab/>
        <w:t>European Union TEMPUS</w:t>
      </w:r>
      <w:r>
        <w:rPr>
          <w:color w:val="auto"/>
          <w:lang w:val="en-US"/>
        </w:rPr>
        <w:t xml:space="preserve"> Fellowship support for six months project at the Uppsala University</w:t>
      </w:r>
    </w:p>
    <w:p>
      <w:pPr>
        <w:spacing w:before="0"/>
        <w:ind w:left="720" w:hanging="720"/>
        <w:rPr>
          <w:color w:val="auto"/>
          <w:lang w:val="en-US"/>
        </w:rPr>
      </w:pPr>
    </w:p>
    <w:p>
      <w:pPr>
        <w:pStyle w:val="Heading2"/>
        <w:rPr>
          <w:color w:val="auto"/>
        </w:rPr>
      </w:pPr>
      <w:r>
        <w:rPr>
          <w:color w:val="auto"/>
        </w:rPr>
        <w:t>Patents</w:t>
      </w:r>
    </w:p>
    <w:p>
      <w:pPr>
        <w:pStyle w:val="Default"/>
        <w:spacing w:before="120" w:after="120"/>
        <w:ind w:left="720" w:hanging="720"/>
        <w:rPr>
          <w:rStyle w:val="NormalTimesChar"/>
          <w:rFonts w:asciiTheme="minorHAnsi" w:hAnsiTheme="minorHAnsi" w:cstheme="minorHAnsi"/>
          <w:b/>
          <w:color w:val="auto"/>
        </w:rPr>
      </w:pPr>
      <w:r>
        <w:rPr>
          <w:rFonts w:asciiTheme="minorHAnsi" w:hAnsiTheme="minorHAnsi" w:cstheme="minorHAnsi"/>
          <w:b/>
          <w:color w:val="auto"/>
          <w:sz w:val="22"/>
          <w:szCs w:val="22"/>
        </w:rPr>
        <w:t>2018</w:t>
      </w:r>
      <w:r>
        <w:rPr>
          <w:rFonts w:asciiTheme="minorHAnsi" w:hAnsiTheme="minorHAnsi" w:cstheme="minorHAnsi"/>
          <w:color w:val="auto"/>
          <w:sz w:val="22"/>
          <w:szCs w:val="22"/>
        </w:rPr>
        <w:tab/>
      </w:r>
      <w:r>
        <w:rPr>
          <w:rStyle w:val="NormalTimesChar"/>
          <w:rFonts w:asciiTheme="minorHAnsi" w:hAnsiTheme="minorHAnsi" w:cstheme="minorHAnsi"/>
          <w:noProof/>
          <w:color w:val="auto"/>
        </w:rPr>
        <w:t>Patent</w:t>
      </w:r>
      <w:r>
        <w:rPr>
          <w:rStyle w:val="NormalTimesChar"/>
          <w:rFonts w:asciiTheme="minorHAnsi" w:hAnsiTheme="minorHAnsi" w:cstheme="minorHAnsi"/>
          <w:color w:val="auto"/>
        </w:rPr>
        <w:t xml:space="preserve">-pending for a method of immunization against custom macromolecule coupled to nematode carrier. </w:t>
      </w:r>
      <w:r>
        <w:rPr>
          <w:rStyle w:val="NormalTimesChar"/>
          <w:rFonts w:asciiTheme="minorHAnsi" w:hAnsiTheme="minorHAnsi" w:cstheme="minorHAnsi"/>
          <w:b/>
          <w:color w:val="auto"/>
        </w:rPr>
        <w:t>WW Kilarski</w:t>
      </w:r>
    </w:p>
    <w:p>
      <w:pPr>
        <w:pStyle w:val="Default"/>
        <w:spacing w:before="120" w:after="120"/>
        <w:ind w:left="720" w:hanging="720"/>
        <w:rPr>
          <w:rStyle w:val="NormalTimesChar"/>
          <w:rFonts w:asciiTheme="minorHAnsi" w:hAnsiTheme="minorHAnsi" w:cstheme="minorHAnsi"/>
          <w:b/>
          <w:color w:val="auto"/>
        </w:rPr>
      </w:pPr>
    </w:p>
    <w:p>
      <w:pPr>
        <w:pStyle w:val="Default"/>
        <w:spacing w:before="120" w:after="120"/>
        <w:ind w:left="720" w:hanging="720"/>
        <w:rPr>
          <w:rStyle w:val="NormalTimesChar"/>
          <w:rFonts w:asciiTheme="minorHAnsi" w:hAnsiTheme="minorHAnsi" w:cstheme="minorHAnsi"/>
          <w:b/>
          <w:color w:val="auto"/>
        </w:rPr>
      </w:pPr>
    </w:p>
    <w:p>
      <w:pPr>
        <w:pStyle w:val="Default"/>
        <w:spacing w:before="120" w:after="120"/>
        <w:ind w:left="720" w:hanging="720"/>
        <w:rPr>
          <w:rFonts w:asciiTheme="minorHAnsi" w:hAnsiTheme="minorHAnsi" w:cstheme="minorHAnsi"/>
          <w:color w:val="auto"/>
          <w:sz w:val="22"/>
          <w:szCs w:val="22"/>
        </w:rPr>
      </w:pPr>
    </w:p>
    <w:p>
      <w:pPr>
        <w:pStyle w:val="Heading2"/>
        <w:spacing w:after="240"/>
        <w:rPr>
          <w:color w:val="auto"/>
        </w:rPr>
      </w:pPr>
      <w:r>
        <w:rPr>
          <w:color w:val="auto"/>
        </w:rPr>
        <w:t>Other Professional Activities</w:t>
      </w:r>
    </w:p>
    <w:p>
      <w:pPr>
        <w:pStyle w:val="Withintent"/>
        <w:numPr>
          <w:ilvl w:val="0"/>
          <w:numId w:val="7"/>
        </w:numPr>
        <w:tabs>
          <w:tab w:val="clear" w:pos="450"/>
          <w:tab w:val="left" w:pos="720"/>
        </w:tabs>
        <w:spacing w:before="0"/>
        <w:ind w:left="714" w:hanging="357"/>
        <w:rPr>
          <w:color w:val="auto"/>
          <w:lang w:val="en-US"/>
        </w:rPr>
      </w:pPr>
      <w:r>
        <w:rPr>
          <w:bCs/>
          <w:color w:val="auto"/>
          <w:lang w:val="en-US"/>
        </w:rPr>
        <w:t>Ad hoc reviewer for journals:</w:t>
      </w:r>
      <w:r>
        <w:rPr>
          <w:color w:val="auto"/>
          <w:lang w:val="en-US"/>
        </w:rPr>
        <w:t xml:space="preserve"> Adv Wound Care, Sci Rep, Angiogenesis, Cell Mol Bioeng, Biotechnol Lett, Oncogene, J Invest Dermatol, JOVE, Cancers, Parasitology Open, ACS Cent Sci, Dove Med Press, PLOS ONE</w:t>
      </w:r>
    </w:p>
    <w:p>
      <w:pPr>
        <w:pStyle w:val="Withintent"/>
        <w:numPr>
          <w:ilvl w:val="0"/>
          <w:numId w:val="7"/>
        </w:numPr>
        <w:spacing w:before="0"/>
        <w:ind w:left="714" w:hanging="357"/>
        <w:rPr>
          <w:color w:val="auto"/>
          <w:lang w:val="en-US"/>
        </w:rPr>
      </w:pPr>
      <w:r>
        <w:rPr>
          <w:bCs/>
          <w:color w:val="auto"/>
          <w:lang w:val="en-US"/>
        </w:rPr>
        <w:t>Ad hoc reviewer for grant foundations:</w:t>
      </w:r>
      <w:r>
        <w:rPr>
          <w:color w:val="auto"/>
          <w:lang w:val="en-US"/>
        </w:rPr>
        <w:t xml:space="preserve"> The National Fund for Scientific Research for Flanders (FWO), The National Science Centre, in Polish Narodowe Centrum Nauki.</w:t>
      </w:r>
    </w:p>
    <w:p>
      <w:pPr>
        <w:pStyle w:val="Withintent"/>
        <w:numPr>
          <w:ilvl w:val="0"/>
          <w:numId w:val="7"/>
        </w:numPr>
        <w:spacing w:before="0"/>
        <w:ind w:left="714" w:hanging="357"/>
        <w:rPr>
          <w:color w:val="auto"/>
          <w:lang w:val="en-US"/>
        </w:rPr>
      </w:pPr>
      <w:r>
        <w:rPr>
          <w:color w:val="auto"/>
          <w:lang w:val="en-US"/>
        </w:rPr>
        <w:t>Member of Nature Research Microbiology Community</w:t>
      </w:r>
    </w:p>
    <w:p>
      <w:pPr>
        <w:pStyle w:val="Withintent"/>
        <w:numPr>
          <w:ilvl w:val="0"/>
          <w:numId w:val="7"/>
        </w:numPr>
        <w:spacing w:before="0"/>
        <w:ind w:left="714" w:hanging="357"/>
        <w:rPr>
          <w:color w:val="auto"/>
          <w:lang w:val="en-US"/>
        </w:rPr>
      </w:pPr>
      <w:r>
        <w:rPr>
          <w:color w:val="auto"/>
          <w:lang w:val="en-US"/>
        </w:rPr>
        <w:t>Member of North American Vascular Biology Organization (NAVBO)</w:t>
      </w:r>
    </w:p>
    <w:p>
      <w:pPr>
        <w:pStyle w:val="Withintent"/>
        <w:numPr>
          <w:ilvl w:val="0"/>
          <w:numId w:val="7"/>
        </w:numPr>
        <w:spacing w:before="0"/>
        <w:ind w:left="714" w:hanging="357"/>
        <w:rPr>
          <w:color w:val="auto"/>
          <w:lang w:val="en-US"/>
        </w:rPr>
      </w:pPr>
      <w:r>
        <w:rPr>
          <w:color w:val="auto"/>
          <w:lang w:val="en-US"/>
        </w:rPr>
        <w:t>Member of Lipedema Foundation (LF)</w:t>
      </w:r>
    </w:p>
    <w:p>
      <w:pPr>
        <w:pStyle w:val="Withintent"/>
        <w:numPr>
          <w:ilvl w:val="0"/>
          <w:numId w:val="7"/>
        </w:numPr>
        <w:spacing w:before="0"/>
        <w:ind w:left="714" w:hanging="357"/>
        <w:rPr>
          <w:color w:val="auto"/>
          <w:lang w:val="en-US"/>
        </w:rPr>
      </w:pPr>
      <w:r>
        <w:rPr>
          <w:color w:val="auto"/>
          <w:lang w:val="en-US"/>
        </w:rPr>
        <w:t>Member of Lymphatic Education &amp; Research Network</w:t>
      </w:r>
      <w:bookmarkStart w:id="28" w:name="_Toc509402010"/>
      <w:bookmarkStart w:id="29" w:name="_Toc369009516"/>
    </w:p>
    <w:p>
      <w:pPr>
        <w:pStyle w:val="Heading2"/>
        <w:spacing w:before="240" w:after="120"/>
        <w:rPr>
          <w:color w:val="auto"/>
        </w:rPr>
      </w:pPr>
      <w:r>
        <w:rPr>
          <w:color w:val="auto"/>
        </w:rPr>
        <w:t>Skills</w:t>
      </w:r>
    </w:p>
    <w:p>
      <w:pPr>
        <w:pStyle w:val="NoSpacing"/>
        <w:rPr>
          <w:color w:val="auto"/>
        </w:rPr>
      </w:pPr>
      <w:r>
        <w:rPr>
          <w:color w:val="auto"/>
        </w:rPr>
        <w:t>Training on Advance fluorescence imaging techniques and 2Photon microscope.</w:t>
      </w:r>
    </w:p>
    <w:p>
      <w:pPr>
        <w:pStyle w:val="NoSpacing"/>
        <w:rPr>
          <w:color w:val="auto"/>
        </w:rPr>
      </w:pPr>
      <w:r>
        <w:rPr>
          <w:color w:val="auto"/>
        </w:rPr>
        <w:t xml:space="preserve">Imaging techniques: </w:t>
      </w:r>
    </w:p>
    <w:p>
      <w:pPr>
        <w:pStyle w:val="NoSpacing"/>
        <w:numPr>
          <w:ilvl w:val="0"/>
          <w:numId w:val="8"/>
        </w:numPr>
        <w:spacing w:before="0"/>
        <w:ind w:left="714" w:hanging="357"/>
        <w:rPr>
          <w:color w:val="auto"/>
        </w:rPr>
      </w:pPr>
      <w:r>
        <w:rPr>
          <w:color w:val="auto"/>
        </w:rPr>
        <w:t>Intravital model on mouse ear skin.</w:t>
      </w:r>
    </w:p>
    <w:p>
      <w:pPr>
        <w:pStyle w:val="NoSpacing"/>
        <w:numPr>
          <w:ilvl w:val="0"/>
          <w:numId w:val="8"/>
        </w:numPr>
        <w:spacing w:before="0"/>
        <w:ind w:left="714" w:hanging="357"/>
        <w:rPr>
          <w:color w:val="auto"/>
        </w:rPr>
      </w:pPr>
      <w:r>
        <w:rPr>
          <w:color w:val="auto"/>
        </w:rPr>
        <w:t>Whole-mount staining and immunofluorescence imaging.</w:t>
      </w:r>
    </w:p>
    <w:p>
      <w:pPr>
        <w:pStyle w:val="NoSpacing"/>
        <w:numPr>
          <w:ilvl w:val="0"/>
          <w:numId w:val="8"/>
        </w:numPr>
        <w:spacing w:before="0"/>
        <w:ind w:left="714" w:hanging="357"/>
        <w:rPr>
          <w:color w:val="auto"/>
        </w:rPr>
      </w:pPr>
      <w:r>
        <w:rPr>
          <w:color w:val="auto"/>
        </w:rPr>
        <w:t>Two-photon-imaging.</w:t>
      </w:r>
    </w:p>
    <w:p>
      <w:pPr>
        <w:pStyle w:val="NoSpacing"/>
        <w:rPr>
          <w:color w:val="auto"/>
        </w:rPr>
      </w:pPr>
      <w:r>
        <w:rPr>
          <w:color w:val="auto"/>
        </w:rPr>
        <w:t xml:space="preserve">Experimental methods: </w:t>
      </w:r>
    </w:p>
    <w:p>
      <w:pPr>
        <w:pStyle w:val="NoSpacing"/>
        <w:numPr>
          <w:ilvl w:val="0"/>
          <w:numId w:val="10"/>
        </w:numPr>
        <w:spacing w:before="0"/>
        <w:ind w:left="714" w:hanging="357"/>
        <w:rPr>
          <w:color w:val="auto"/>
        </w:rPr>
      </w:pPr>
      <w:r>
        <w:rPr>
          <w:color w:val="auto"/>
        </w:rPr>
        <w:t>In vitro methods of cell isolation, differentiation, and function.</w:t>
      </w:r>
    </w:p>
    <w:p>
      <w:pPr>
        <w:pStyle w:val="NoSpacing"/>
        <w:numPr>
          <w:ilvl w:val="0"/>
          <w:numId w:val="10"/>
        </w:numPr>
        <w:spacing w:before="0"/>
        <w:ind w:left="714" w:hanging="357"/>
        <w:rPr>
          <w:color w:val="auto"/>
        </w:rPr>
      </w:pPr>
      <w:r>
        <w:rPr>
          <w:color w:val="auto"/>
        </w:rPr>
        <w:t>Ex vivo enzymatic assays, standard molecular biology techniques.</w:t>
      </w:r>
    </w:p>
    <w:p>
      <w:pPr>
        <w:pStyle w:val="NoSpacing"/>
        <w:numPr>
          <w:ilvl w:val="0"/>
          <w:numId w:val="10"/>
        </w:numPr>
        <w:spacing w:before="0"/>
        <w:ind w:left="714" w:hanging="357"/>
        <w:rPr>
          <w:color w:val="auto"/>
        </w:rPr>
      </w:pPr>
      <w:r>
        <w:rPr>
          <w:color w:val="auto"/>
        </w:rPr>
        <w:t>Transcriptomics, proteomics, and peptide mass fingerprinting techniques.</w:t>
      </w:r>
    </w:p>
    <w:p>
      <w:pPr>
        <w:pStyle w:val="NoSpacing"/>
        <w:numPr>
          <w:ilvl w:val="0"/>
          <w:numId w:val="10"/>
        </w:numPr>
        <w:spacing w:before="0"/>
        <w:ind w:left="714" w:hanging="357"/>
        <w:rPr>
          <w:color w:val="auto"/>
        </w:rPr>
      </w:pPr>
      <w:r>
        <w:rPr>
          <w:color w:val="auto"/>
        </w:rPr>
        <w:t>Generation of iPSCs and methods for their redifferentiation in vitro and in vivo.</w:t>
      </w:r>
    </w:p>
    <w:p>
      <w:pPr>
        <w:pStyle w:val="NoSpacing"/>
        <w:numPr>
          <w:ilvl w:val="0"/>
          <w:numId w:val="10"/>
        </w:numPr>
        <w:spacing w:before="0"/>
        <w:ind w:left="714" w:hanging="357"/>
        <w:rPr>
          <w:color w:val="auto"/>
        </w:rPr>
      </w:pPr>
      <w:r>
        <w:rPr>
          <w:color w:val="auto"/>
        </w:rPr>
        <w:t>Glia development in chicken by embryo electroporation.</w:t>
      </w:r>
    </w:p>
    <w:p>
      <w:pPr>
        <w:pStyle w:val="NoSpacing"/>
        <w:rPr>
          <w:color w:val="auto"/>
        </w:rPr>
      </w:pPr>
      <w:r>
        <w:rPr>
          <w:color w:val="auto"/>
        </w:rPr>
        <w:t xml:space="preserve">Experimental animal models: </w:t>
      </w:r>
    </w:p>
    <w:p>
      <w:pPr>
        <w:pStyle w:val="NoSpacing"/>
        <w:numPr>
          <w:ilvl w:val="0"/>
          <w:numId w:val="12"/>
        </w:numPr>
        <w:rPr>
          <w:color w:val="auto"/>
        </w:rPr>
      </w:pPr>
      <w:r>
        <w:rPr>
          <w:color w:val="auto"/>
        </w:rPr>
        <w:t xml:space="preserve">Mouse models of skin wound healing, tail lymphedema, lymphangiography, and angiography, a technique for subcutaneous transplantation of oxygen-sensitive tissues (muscle, islets, etc.), a method for cornea transplantation.  </w:t>
      </w:r>
    </w:p>
    <w:p>
      <w:pPr>
        <w:pStyle w:val="NoSpacing"/>
        <w:numPr>
          <w:ilvl w:val="0"/>
          <w:numId w:val="12"/>
        </w:numPr>
        <w:rPr>
          <w:color w:val="auto"/>
        </w:rPr>
      </w:pPr>
      <w:r>
        <w:rPr>
          <w:color w:val="auto"/>
        </w:rPr>
        <w:t xml:space="preserve">Göttingen Minipigs which are intensively used in diabetes research, but became an advantageous model in regulatory pharmacology and toxicology. They are also recognized as a useful animal model for translational neuroscience (e.g. Parkinson Disease, depression). </w:t>
      </w:r>
    </w:p>
    <w:p>
      <w:pPr>
        <w:pStyle w:val="NoSpacing"/>
        <w:numPr>
          <w:ilvl w:val="0"/>
          <w:numId w:val="12"/>
        </w:numPr>
        <w:rPr>
          <w:color w:val="auto"/>
        </w:rPr>
      </w:pPr>
      <w:r>
        <w:rPr>
          <w:color w:val="auto"/>
        </w:rPr>
        <w:t>Chick embryo chorioallantoic membrane (CAM) as a valuable model for angiogenesis and metastasis, but also an experimental system for analysis of transplant immune responses. Due to its extensive vascularization, lack of adaptive immunity, and fast, non-traumatic access to the virtually two-dimensional vascular bed of chorioallantoic plexus (a homologue to the human placenta) it is broadly used in xenografting, neurosurgery, and the blood-brain barrier research.</w:t>
      </w:r>
    </w:p>
    <w:p>
      <w:pPr>
        <w:pStyle w:val="NoSpacing"/>
        <w:rPr>
          <w:color w:val="auto"/>
        </w:rPr>
      </w:pPr>
      <w:r>
        <w:rPr>
          <w:color w:val="auto"/>
        </w:rPr>
        <w:t>Computer skills:</w:t>
      </w:r>
    </w:p>
    <w:p>
      <w:pPr>
        <w:pStyle w:val="NoSpacing"/>
        <w:numPr>
          <w:ilvl w:val="0"/>
          <w:numId w:val="14"/>
        </w:numPr>
        <w:spacing w:before="0"/>
        <w:ind w:left="714" w:hanging="357"/>
        <w:rPr>
          <w:color w:val="auto"/>
        </w:rPr>
      </w:pPr>
      <w:r>
        <w:rPr>
          <w:color w:val="auto"/>
        </w:rPr>
        <w:t xml:space="preserve">Computer 3D Image editing software: Imaris, FIJI; </w:t>
      </w:r>
    </w:p>
    <w:p>
      <w:pPr>
        <w:pStyle w:val="NoSpacing"/>
        <w:numPr>
          <w:ilvl w:val="0"/>
          <w:numId w:val="14"/>
        </w:numPr>
        <w:spacing w:before="0"/>
        <w:ind w:left="714" w:hanging="357"/>
        <w:rPr>
          <w:color w:val="auto"/>
        </w:rPr>
      </w:pPr>
      <w:r>
        <w:rPr>
          <w:color w:val="auto"/>
        </w:rPr>
        <w:t xml:space="preserve">2D image and graphic design: Photoshop, Illustrator, In Design; </w:t>
      </w:r>
    </w:p>
    <w:p>
      <w:pPr>
        <w:pStyle w:val="NoSpacing"/>
        <w:numPr>
          <w:ilvl w:val="0"/>
          <w:numId w:val="14"/>
        </w:numPr>
        <w:spacing w:before="0"/>
        <w:ind w:left="714" w:hanging="357"/>
        <w:rPr>
          <w:color w:val="auto"/>
        </w:rPr>
      </w:pPr>
      <w:r>
        <w:rPr>
          <w:color w:val="auto"/>
        </w:rPr>
        <w:t xml:space="preserve">Office and statistics software; </w:t>
      </w:r>
    </w:p>
    <w:p>
      <w:pPr>
        <w:pStyle w:val="NoSpacing"/>
        <w:numPr>
          <w:ilvl w:val="0"/>
          <w:numId w:val="14"/>
        </w:numPr>
        <w:spacing w:before="0"/>
        <w:ind w:left="714" w:hanging="357"/>
        <w:rPr>
          <w:color w:val="auto"/>
        </w:rPr>
      </w:pPr>
      <w:r>
        <w:rPr>
          <w:color w:val="auto"/>
        </w:rPr>
        <w:t xml:space="preserve">Basic programming tools; </w:t>
      </w:r>
    </w:p>
    <w:p>
      <w:pPr>
        <w:pStyle w:val="NoSpacing"/>
        <w:numPr>
          <w:ilvl w:val="0"/>
          <w:numId w:val="14"/>
        </w:numPr>
        <w:spacing w:before="0"/>
        <w:ind w:left="714" w:hanging="357"/>
        <w:rPr>
          <w:color w:val="auto"/>
        </w:rPr>
      </w:pPr>
      <w:r>
        <w:rPr>
          <w:color w:val="auto"/>
        </w:rPr>
        <w:t>In Windows, OS X and Linux environment.</w:t>
      </w:r>
    </w:p>
    <w:p>
      <w:pPr>
        <w:pStyle w:val="NoSpacing"/>
        <w:rPr>
          <w:color w:val="auto"/>
        </w:rPr>
      </w:pPr>
      <w:r>
        <w:rPr>
          <w:color w:val="auto"/>
        </w:rPr>
        <w:t xml:space="preserve">Languages: </w:t>
      </w:r>
      <w:r>
        <w:rPr>
          <w:color w:val="auto"/>
        </w:rPr>
        <w:tab/>
        <w:t>Polish (native), English (advanced), French (basic), German (basic), Russian (basic)</w:t>
      </w:r>
    </w:p>
    <w:p>
      <w:pPr>
        <w:pStyle w:val="Heading2"/>
        <w:spacing w:before="240"/>
        <w:rPr>
          <w:color w:val="auto"/>
        </w:rPr>
      </w:pPr>
      <w:r>
        <w:rPr>
          <w:color w:val="auto"/>
        </w:rPr>
        <w:t>Grants Received</w:t>
      </w:r>
      <w:bookmarkEnd w:id="28"/>
      <w:bookmarkEnd w:id="29"/>
    </w:p>
    <w:p>
      <w:pPr>
        <w:spacing w:after="120"/>
        <w:ind w:left="1350" w:hanging="1350"/>
        <w:rPr>
          <w:color w:val="auto"/>
          <w:lang w:val="en-US"/>
        </w:rPr>
      </w:pPr>
      <w:bookmarkStart w:id="30" w:name="_Toc369009517"/>
      <w:r>
        <w:rPr>
          <w:b/>
          <w:color w:val="auto"/>
          <w:lang w:val="en-US"/>
        </w:rPr>
        <w:t>2012-15</w:t>
      </w:r>
      <w:r>
        <w:rPr>
          <w:color w:val="auto"/>
          <w:lang w:val="en-US"/>
        </w:rPr>
        <w:tab/>
      </w:r>
      <w:r>
        <w:rPr>
          <w:b/>
          <w:color w:val="auto"/>
          <w:lang w:val="en-US"/>
        </w:rPr>
        <w:t>Polish-Swiss Research Program</w:t>
      </w:r>
      <w:r>
        <w:rPr>
          <w:lang w:val="en-US"/>
        </w:rPr>
        <w:t xml:space="preserve"> </w:t>
      </w:r>
      <w:hyperlink r:id="rId81" w:history="1">
        <w:r>
          <w:rPr>
            <w:rStyle w:val="Hyperlink"/>
            <w:lang w:val="en-US"/>
          </w:rPr>
          <w:t>Novel therapeutic strategies to target tumor lymphangiogenesis</w:t>
        </w:r>
      </w:hyperlink>
      <w:r>
        <w:rPr>
          <w:color w:val="auto"/>
          <w:lang w:val="en-US"/>
        </w:rPr>
        <w:t xml:space="preserve">, in partnership with Warsaw Medical and Jagiellonian Universities. Grant Number: PSPB-057/2010, value: 1 million CHF for three years. </w:t>
      </w:r>
      <w:r>
        <w:rPr>
          <w:noProof/>
          <w:color w:val="auto"/>
          <w:lang w:val="en-US"/>
        </w:rPr>
        <w:t>I</w:t>
      </w:r>
      <w:r>
        <w:rPr>
          <w:color w:val="auto"/>
          <w:lang w:val="en-US"/>
        </w:rPr>
        <w:t xml:space="preserve"> wrote </w:t>
      </w:r>
      <w:r>
        <w:rPr>
          <w:noProof/>
          <w:color w:val="auto"/>
          <w:lang w:val="en-US"/>
        </w:rPr>
        <w:t>most of</w:t>
      </w:r>
      <w:r>
        <w:rPr>
          <w:color w:val="auto"/>
          <w:lang w:val="en-US"/>
        </w:rPr>
        <w:t xml:space="preserve"> Swiss and edited Polish part of the grant, q</w:t>
      </w:r>
      <w:r>
        <w:rPr>
          <w:noProof/>
          <w:color w:val="auto"/>
          <w:lang w:val="en-US"/>
        </w:rPr>
        <w:t>uaternary and annual grant reporting.</w:t>
      </w:r>
      <w:r>
        <w:rPr>
          <w:color w:val="auto"/>
          <w:lang w:val="en-US"/>
        </w:rPr>
        <w:t xml:space="preserve"> The </w:t>
      </w:r>
      <w:r>
        <w:rPr>
          <w:noProof/>
          <w:color w:val="auto"/>
          <w:lang w:val="en-US"/>
        </w:rPr>
        <w:t>grant</w:t>
      </w:r>
      <w:r>
        <w:rPr>
          <w:color w:val="auto"/>
          <w:lang w:val="en-US"/>
        </w:rPr>
        <w:t xml:space="preserve"> application </w:t>
      </w:r>
      <w:r>
        <w:rPr>
          <w:noProof/>
          <w:color w:val="auto"/>
          <w:lang w:val="en-US"/>
        </w:rPr>
        <w:t>was scored</w:t>
      </w:r>
      <w:r>
        <w:rPr>
          <w:color w:val="auto"/>
          <w:lang w:val="en-US"/>
        </w:rPr>
        <w:t xml:space="preserve"> as the second out of approximately two hundred applications.</w:t>
      </w:r>
    </w:p>
    <w:p>
      <w:pPr>
        <w:spacing w:after="120"/>
        <w:ind w:left="1350" w:hanging="1350"/>
        <w:rPr>
          <w:color w:val="auto"/>
          <w:lang w:val="en-US"/>
        </w:rPr>
      </w:pPr>
      <w:r>
        <w:rPr>
          <w:b/>
          <w:color w:val="auto"/>
          <w:lang w:val="fr-CH"/>
        </w:rPr>
        <w:t>2006</w:t>
      </w:r>
      <w:r>
        <w:rPr>
          <w:color w:val="auto"/>
          <w:lang w:val="fr-CH"/>
        </w:rPr>
        <w:tab/>
      </w:r>
      <w:r>
        <w:rPr>
          <w:b/>
          <w:color w:val="auto"/>
          <w:lang w:val="fr-CH"/>
        </w:rPr>
        <w:t>Foundation</w:t>
      </w:r>
      <w:r>
        <w:rPr>
          <w:color w:val="auto"/>
          <w:lang w:val="fr-CH"/>
        </w:rPr>
        <w:t xml:space="preserve"> </w:t>
      </w:r>
      <w:r>
        <w:rPr>
          <w:b/>
          <w:color w:val="auto"/>
          <w:lang w:val="fr-CH"/>
        </w:rPr>
        <w:t>Lefoulon-Delalande-Institute de France</w:t>
      </w:r>
      <w:r>
        <w:rPr>
          <w:color w:val="auto"/>
          <w:lang w:val="fr-CH"/>
        </w:rPr>
        <w:t xml:space="preserve">. </w:t>
      </w:r>
      <w:r>
        <w:rPr>
          <w:color w:val="auto"/>
          <w:lang w:val="en-US"/>
        </w:rPr>
        <w:t>Personal grant for a project</w:t>
      </w:r>
      <w:r>
        <w:rPr>
          <w:lang w:val="en-US"/>
        </w:rPr>
        <w:t xml:space="preserve">: </w:t>
      </w:r>
      <w:hyperlink r:id="rId82" w:history="1">
        <w:r>
          <w:rPr>
            <w:rStyle w:val="Hyperlink"/>
            <w:lang w:val="en-US"/>
          </w:rPr>
          <w:t>Comparative profiling of endothelium proteome in normal and granulation tissue vasculature</w:t>
        </w:r>
      </w:hyperlink>
      <w:r>
        <w:rPr>
          <w:lang w:val="en-US"/>
        </w:rPr>
        <w:t xml:space="preserve">. </w:t>
      </w:r>
      <w:r>
        <w:rPr>
          <w:color w:val="auto"/>
          <w:lang w:val="en-US"/>
        </w:rPr>
        <w:t xml:space="preserve">Value: 25 000 € for one year. </w:t>
      </w:r>
    </w:p>
    <w:p>
      <w:pPr>
        <w:spacing w:after="120"/>
        <w:ind w:left="1350" w:hanging="1350"/>
        <w:rPr>
          <w:color w:val="auto"/>
          <w:lang w:val="en-US"/>
        </w:rPr>
      </w:pPr>
      <w:r>
        <w:rPr>
          <w:b/>
          <w:color w:val="auto"/>
          <w:lang w:val="en-US"/>
        </w:rPr>
        <w:t>1998</w:t>
      </w:r>
      <w:r>
        <w:rPr>
          <w:b/>
          <w:color w:val="auto"/>
          <w:lang w:val="en-US"/>
        </w:rPr>
        <w:tab/>
      </w:r>
      <w:r>
        <w:rPr>
          <w:color w:val="auto"/>
          <w:lang w:val="en-US"/>
        </w:rPr>
        <w:t>European Union TEMPUS stipend for six months personal support in Erik Fries lab at the Uppsala University Biomedical Centre, Sweden. Value: 3800 €</w:t>
      </w:r>
      <w:bookmarkEnd w:id="30"/>
      <w:r>
        <w:rPr>
          <w:color w:val="auto"/>
          <w:lang w:val="en-US"/>
        </w:rPr>
        <w:t xml:space="preserve"> for 5 months.</w:t>
      </w:r>
    </w:p>
    <w:p>
      <w:pPr>
        <w:spacing w:after="120"/>
        <w:ind w:left="1350" w:hanging="1350"/>
        <w:rPr>
          <w:color w:val="auto"/>
          <w:lang w:val="en-US"/>
        </w:rPr>
      </w:pPr>
    </w:p>
    <w:p>
      <w:pPr>
        <w:spacing w:before="0" w:after="0"/>
        <w:jc w:val="center"/>
        <w:rPr>
          <w:color w:val="auto"/>
          <w:lang w:val="en-US"/>
        </w:rPr>
      </w:pPr>
      <w:bookmarkStart w:id="31" w:name="_Toc509402009"/>
      <w:r>
        <w:rPr>
          <w:rStyle w:val="Heading2Char"/>
          <w:color w:val="auto"/>
        </w:rPr>
        <w:t>Teaching and Tutoring</w:t>
      </w:r>
      <w:bookmarkEnd w:id="31"/>
    </w:p>
    <w:p>
      <w:pPr>
        <w:ind w:left="1440" w:hanging="1440"/>
        <w:rPr>
          <w:color w:val="auto"/>
          <w:lang w:val="en-US"/>
        </w:rPr>
      </w:pPr>
      <w:r>
        <w:rPr>
          <w:b/>
          <w:color w:val="auto"/>
          <w:lang w:val="en-US"/>
        </w:rPr>
        <w:t>2016</w:t>
      </w:r>
      <w:r>
        <w:rPr>
          <w:color w:val="auto"/>
          <w:lang w:val="en-US"/>
        </w:rPr>
        <w:tab/>
        <w:t xml:space="preserve">Co-tutoring (H. </w:t>
      </w:r>
      <w:r>
        <w:rPr>
          <w:noProof/>
          <w:color w:val="auto"/>
          <w:lang w:val="en-US"/>
        </w:rPr>
        <w:t>Paymen</w:t>
      </w:r>
      <w:r>
        <w:rPr>
          <w:color w:val="auto"/>
          <w:lang w:val="en-US"/>
        </w:rPr>
        <w:t xml:space="preserve">) and training (T. Mercer) </w:t>
      </w:r>
      <w:r>
        <w:rPr>
          <w:noProof/>
          <w:color w:val="auto"/>
          <w:lang w:val="en-US"/>
        </w:rPr>
        <w:t>Ph.D.</w:t>
      </w:r>
      <w:r>
        <w:rPr>
          <w:color w:val="auto"/>
          <w:lang w:val="en-US"/>
        </w:rPr>
        <w:t xml:space="preserve"> students at the University of Chicago on animal models and immunohistochemistry techniques.</w:t>
      </w:r>
    </w:p>
    <w:p>
      <w:pPr>
        <w:ind w:left="1440" w:hanging="1440"/>
        <w:rPr>
          <w:color w:val="auto"/>
          <w:lang w:val="en-US"/>
        </w:rPr>
      </w:pPr>
      <w:r>
        <w:rPr>
          <w:b/>
          <w:color w:val="auto"/>
          <w:lang w:val="en-US"/>
        </w:rPr>
        <w:t>2010-14</w:t>
      </w:r>
      <w:r>
        <w:rPr>
          <w:color w:val="auto"/>
          <w:lang w:val="en-US"/>
        </w:rPr>
        <w:tab/>
        <w:t>Co-mentoring</w:t>
      </w:r>
      <w:r>
        <w:rPr>
          <w:color w:val="auto"/>
          <w:spacing w:val="-7"/>
          <w:lang w:val="en-US"/>
        </w:rPr>
        <w:t xml:space="preserve"> </w:t>
      </w:r>
      <w:r>
        <w:rPr>
          <w:noProof/>
          <w:color w:val="auto"/>
          <w:lang w:val="en-US"/>
        </w:rPr>
        <w:t>Ph.D.</w:t>
      </w:r>
      <w:r>
        <w:rPr>
          <w:color w:val="auto"/>
          <w:spacing w:val="-7"/>
          <w:lang w:val="en-US"/>
        </w:rPr>
        <w:t xml:space="preserve"> </w:t>
      </w:r>
      <w:r>
        <w:rPr>
          <w:color w:val="auto"/>
          <w:lang w:val="en-US"/>
        </w:rPr>
        <w:t>student</w:t>
      </w:r>
      <w:r>
        <w:rPr>
          <w:color w:val="auto"/>
          <w:spacing w:val="-6"/>
          <w:lang w:val="en-US"/>
        </w:rPr>
        <w:t xml:space="preserve"> </w:t>
      </w:r>
      <w:r>
        <w:rPr>
          <w:color w:val="auto"/>
          <w:lang w:val="en-US"/>
        </w:rPr>
        <w:t>Esra</w:t>
      </w:r>
      <w:r>
        <w:rPr>
          <w:color w:val="auto"/>
          <w:spacing w:val="-6"/>
          <w:lang w:val="en-US"/>
        </w:rPr>
        <w:t xml:space="preserve"> </w:t>
      </w:r>
      <w:r>
        <w:rPr>
          <w:color w:val="auto"/>
          <w:lang w:val="en-US"/>
        </w:rPr>
        <w:t xml:space="preserve">Güç, which included the </w:t>
      </w:r>
      <w:r>
        <w:rPr>
          <w:noProof/>
          <w:color w:val="auto"/>
          <w:lang w:val="en-US"/>
        </w:rPr>
        <w:t>teaching</w:t>
      </w:r>
      <w:r>
        <w:rPr>
          <w:color w:val="auto"/>
          <w:lang w:val="en-US"/>
        </w:rPr>
        <w:t xml:space="preserve"> of basic animal models and imaging methods, </w:t>
      </w:r>
      <w:r>
        <w:rPr>
          <w:noProof/>
          <w:color w:val="auto"/>
          <w:lang w:val="en-US"/>
        </w:rPr>
        <w:t>academic</w:t>
      </w:r>
      <w:r>
        <w:rPr>
          <w:color w:val="auto"/>
          <w:lang w:val="en-US"/>
        </w:rPr>
        <w:t xml:space="preserve"> planning and direct help with experiments but also troubleshooting of newly developed </w:t>
      </w:r>
      <w:r>
        <w:rPr>
          <w:noProof/>
          <w:color w:val="auto"/>
          <w:lang w:val="en-US"/>
        </w:rPr>
        <w:t>techniques</w:t>
      </w:r>
      <w:r>
        <w:rPr>
          <w:color w:val="auto"/>
          <w:lang w:val="en-US"/>
        </w:rPr>
        <w:t xml:space="preserve">. Finally, </w:t>
      </w:r>
      <w:r>
        <w:rPr>
          <w:noProof/>
          <w:color w:val="auto"/>
          <w:lang w:val="en-US"/>
        </w:rPr>
        <w:t>I</w:t>
      </w:r>
      <w:r>
        <w:rPr>
          <w:color w:val="auto"/>
          <w:lang w:val="en-US"/>
        </w:rPr>
        <w:t xml:space="preserve"> took part in writing manuscripts and rebuttals of reviewers' comments.</w:t>
      </w:r>
    </w:p>
    <w:p>
      <w:pPr>
        <w:ind w:left="1440" w:hanging="1440"/>
        <w:rPr>
          <w:color w:val="auto"/>
          <w:spacing w:val="34"/>
          <w:w w:val="99"/>
          <w:lang w:val="en-US"/>
        </w:rPr>
      </w:pPr>
      <w:r>
        <w:rPr>
          <w:b/>
          <w:color w:val="auto"/>
          <w:lang w:val="en-US"/>
        </w:rPr>
        <w:t>2013</w:t>
      </w:r>
      <w:r>
        <w:rPr>
          <w:color w:val="auto"/>
          <w:lang w:val="en-US"/>
        </w:rPr>
        <w:tab/>
        <w:t xml:space="preserve">Scientific planning and guidance for M. Wachowska, a </w:t>
      </w:r>
      <w:r>
        <w:rPr>
          <w:noProof/>
          <w:color w:val="auto"/>
          <w:lang w:val="en-US"/>
        </w:rPr>
        <w:t>Ph.D. student</w:t>
      </w:r>
      <w:r>
        <w:rPr>
          <w:color w:val="auto"/>
          <w:lang w:val="en-US"/>
        </w:rPr>
        <w:t xml:space="preserve"> from Medical University of Warsaw (a one-month project)</w:t>
      </w:r>
    </w:p>
    <w:p>
      <w:pPr>
        <w:ind w:left="1440" w:hanging="1440"/>
        <w:rPr>
          <w:color w:val="auto"/>
          <w:spacing w:val="34"/>
          <w:w w:val="99"/>
          <w:lang w:val="en-US"/>
        </w:rPr>
      </w:pPr>
      <w:r>
        <w:rPr>
          <w:b/>
          <w:noProof/>
          <w:color w:val="auto"/>
          <w:lang w:val="en-US"/>
        </w:rPr>
        <w:t>2013-14</w:t>
      </w:r>
      <w:r>
        <w:rPr>
          <w:noProof/>
          <w:color w:val="auto"/>
          <w:lang w:val="en-US"/>
        </w:rPr>
        <w:tab/>
        <w:t xml:space="preserve">Organizing and conducting two, one week each, Imaging courses for researchers and staff. </w:t>
      </w:r>
      <w:r>
        <w:rPr>
          <w:b/>
          <w:bCs/>
          <w:noProof/>
          <w:color w:val="auto"/>
          <w:lang w:val="en-US"/>
        </w:rPr>
        <w:t>(1) Intravital imaging of immune-cells interaction with lymphatic vessels</w:t>
      </w:r>
      <w:r>
        <w:rPr>
          <w:noProof/>
          <w:color w:val="auto"/>
          <w:lang w:val="en-US"/>
        </w:rPr>
        <w:t xml:space="preserve">; for E. Wagena, Research Assistant (Prof. Peter Friedl, Nijmegen), L. Johnson, Ph.D. (Prof. David. Jackson, Oxford) and </w:t>
      </w:r>
      <w:r>
        <w:rPr>
          <w:b/>
          <w:bCs/>
          <w:noProof/>
          <w:color w:val="auto"/>
          <w:lang w:val="en-US"/>
        </w:rPr>
        <w:t>(2) Intravital imaging of tumor cell migration and interaction with non-fibrillar matrices</w:t>
      </w:r>
      <w:r>
        <w:rPr>
          <w:noProof/>
          <w:color w:val="auto"/>
          <w:lang w:val="en-US"/>
        </w:rPr>
        <w:t>, for M. Potez, Ph.D. student (Prof. Valentin Djonov, Bern).</w:t>
      </w:r>
      <w:r>
        <w:rPr>
          <w:color w:val="auto"/>
          <w:lang w:val="en-US"/>
        </w:rPr>
        <w:t xml:space="preserve"> These courses </w:t>
      </w:r>
      <w:r>
        <w:rPr>
          <w:noProof/>
          <w:color w:val="auto"/>
          <w:lang w:val="en-US"/>
        </w:rPr>
        <w:t>were also attended</w:t>
      </w:r>
      <w:r>
        <w:rPr>
          <w:color w:val="auto"/>
          <w:lang w:val="en-US"/>
        </w:rPr>
        <w:t xml:space="preserve"> by members of Melody Swartz lab Ph.D. students M. Fankhauser, E. Guc, V. Triacca, and S. Raghunathan. This program included the basics of fluorescence imaging and a theoretical and practical introduction to intravital tissue labeling and long-time imaging. These courses were entirely self-developed. Each </w:t>
      </w:r>
      <w:r>
        <w:rPr>
          <w:noProof/>
          <w:color w:val="auto"/>
          <w:lang w:val="en-US"/>
        </w:rPr>
        <w:t>class</w:t>
      </w:r>
      <w:r>
        <w:rPr>
          <w:color w:val="auto"/>
          <w:lang w:val="en-US"/>
        </w:rPr>
        <w:t xml:space="preserve"> involved 30 hours of tutoring.</w:t>
      </w:r>
    </w:p>
    <w:p>
      <w:pPr>
        <w:ind w:left="1440" w:hanging="1440"/>
        <w:rPr>
          <w:color w:val="auto"/>
          <w:lang w:val="en-US"/>
        </w:rPr>
      </w:pPr>
      <w:r>
        <w:rPr>
          <w:b/>
          <w:color w:val="auto"/>
          <w:lang w:val="en-US"/>
        </w:rPr>
        <w:t>2012</w:t>
      </w:r>
      <w:r>
        <w:rPr>
          <w:color w:val="auto"/>
          <w:lang w:val="en-US"/>
        </w:rPr>
        <w:tab/>
        <w:t xml:space="preserve">Plan and guidance of two </w:t>
      </w:r>
      <w:r>
        <w:rPr>
          <w:noProof/>
          <w:color w:val="auto"/>
          <w:lang w:val="en-US"/>
        </w:rPr>
        <w:t>Ph.D.</w:t>
      </w:r>
      <w:r>
        <w:rPr>
          <w:color w:val="auto"/>
          <w:lang w:val="en-US"/>
        </w:rPr>
        <w:t xml:space="preserve"> students from Warsaw Medical University: A. Muchowicz and M. </w:t>
      </w:r>
      <w:r>
        <w:rPr>
          <w:noProof/>
          <w:color w:val="auto"/>
          <w:lang w:val="en-US"/>
        </w:rPr>
        <w:t>Wachowska</w:t>
      </w:r>
      <w:r>
        <w:rPr>
          <w:color w:val="auto"/>
          <w:lang w:val="en-US"/>
        </w:rPr>
        <w:t xml:space="preserve"> (two-month project). The research </w:t>
      </w:r>
      <w:r>
        <w:rPr>
          <w:noProof/>
          <w:color w:val="auto"/>
          <w:lang w:val="en-US"/>
        </w:rPr>
        <w:t>was conducted</w:t>
      </w:r>
      <w:r>
        <w:rPr>
          <w:color w:val="auto"/>
          <w:lang w:val="en-US"/>
        </w:rPr>
        <w:t xml:space="preserve"> in our lab at the EPFL.</w:t>
      </w:r>
    </w:p>
    <w:p>
      <w:pPr>
        <w:ind w:left="1440" w:hanging="1440"/>
        <w:rPr>
          <w:color w:val="auto"/>
          <w:lang w:val="en-US"/>
        </w:rPr>
      </w:pPr>
      <w:r>
        <w:rPr>
          <w:b/>
          <w:color w:val="auto"/>
          <w:lang w:val="en-US"/>
        </w:rPr>
        <w:t>2009-13</w:t>
      </w:r>
      <w:r>
        <w:rPr>
          <w:color w:val="auto"/>
          <w:lang w:val="en-US"/>
        </w:rPr>
        <w:tab/>
        <w:t>Teaching</w:t>
      </w:r>
      <w:r>
        <w:rPr>
          <w:color w:val="auto"/>
          <w:spacing w:val="-7"/>
          <w:lang w:val="en-US"/>
        </w:rPr>
        <w:t xml:space="preserve"> </w:t>
      </w:r>
      <w:r>
        <w:rPr>
          <w:color w:val="auto"/>
          <w:lang w:val="en-US"/>
        </w:rPr>
        <w:t>and</w:t>
      </w:r>
      <w:r>
        <w:rPr>
          <w:color w:val="auto"/>
          <w:spacing w:val="-3"/>
          <w:lang w:val="en-US"/>
        </w:rPr>
        <w:t xml:space="preserve"> </w:t>
      </w:r>
      <w:r>
        <w:rPr>
          <w:color w:val="auto"/>
          <w:spacing w:val="-1"/>
          <w:lang w:val="en-US"/>
        </w:rPr>
        <w:t>mentoring</w:t>
      </w:r>
      <w:r>
        <w:rPr>
          <w:color w:val="auto"/>
          <w:spacing w:val="-7"/>
          <w:lang w:val="en-US"/>
        </w:rPr>
        <w:t xml:space="preserve"> </w:t>
      </w:r>
      <w:r>
        <w:rPr>
          <w:color w:val="auto"/>
          <w:lang w:val="en-US"/>
        </w:rPr>
        <w:t>of</w:t>
      </w:r>
      <w:r>
        <w:rPr>
          <w:color w:val="auto"/>
          <w:spacing w:val="-6"/>
          <w:lang w:val="en-US"/>
        </w:rPr>
        <w:t xml:space="preserve"> </w:t>
      </w:r>
      <w:r>
        <w:rPr>
          <w:color w:val="auto"/>
          <w:lang w:val="en-US"/>
        </w:rPr>
        <w:t>two</w:t>
      </w:r>
      <w:r>
        <w:rPr>
          <w:color w:val="auto"/>
          <w:spacing w:val="-5"/>
          <w:lang w:val="en-US"/>
        </w:rPr>
        <w:t xml:space="preserve"> </w:t>
      </w:r>
      <w:r>
        <w:rPr>
          <w:color w:val="auto"/>
          <w:spacing w:val="-1"/>
          <w:lang w:val="en-US"/>
        </w:rPr>
        <w:t>undergrads:</w:t>
      </w:r>
      <w:r>
        <w:rPr>
          <w:color w:val="auto"/>
          <w:spacing w:val="-6"/>
          <w:lang w:val="en-US"/>
        </w:rPr>
        <w:t xml:space="preserve"> F. </w:t>
      </w:r>
      <w:r>
        <w:rPr>
          <w:color w:val="auto"/>
          <w:lang w:val="en-US"/>
        </w:rPr>
        <w:t>Bochner,</w:t>
      </w:r>
      <w:r>
        <w:rPr>
          <w:color w:val="auto"/>
          <w:spacing w:val="-6"/>
          <w:lang w:val="en-US"/>
        </w:rPr>
        <w:t xml:space="preserve"> V. </w:t>
      </w:r>
      <w:r>
        <w:rPr>
          <w:color w:val="auto"/>
          <w:lang w:val="en-US"/>
        </w:rPr>
        <w:t xml:space="preserve">Greenwood, three </w:t>
      </w:r>
      <w:r>
        <w:rPr>
          <w:noProof/>
          <w:color w:val="auto"/>
          <w:lang w:val="en-US"/>
        </w:rPr>
        <w:t>Ph.D.</w:t>
      </w:r>
      <w:r>
        <w:rPr>
          <w:color w:val="auto"/>
          <w:lang w:val="en-US"/>
        </w:rPr>
        <w:t xml:space="preserve"> student S. Raghunathan, M. Fankhauser, V. Triacca and one post-doc: Tine Karlsen.</w:t>
      </w:r>
    </w:p>
    <w:p>
      <w:pPr>
        <w:tabs>
          <w:tab w:val="left" w:pos="1440"/>
        </w:tabs>
        <w:rPr>
          <w:color w:val="auto"/>
          <w:lang w:val="en-US"/>
        </w:rPr>
      </w:pPr>
      <w:r>
        <w:rPr>
          <w:b/>
          <w:color w:val="auto"/>
          <w:lang w:val="en-US"/>
        </w:rPr>
        <w:t>2006-08</w:t>
      </w:r>
      <w:r>
        <w:rPr>
          <w:color w:val="auto"/>
          <w:lang w:val="en-US"/>
        </w:rPr>
        <w:tab/>
        <w:t>Instructing and mentoring graduate students I. Sacewicz and M. Studer.</w:t>
      </w:r>
    </w:p>
    <w:p>
      <w:pPr>
        <w:ind w:left="1410" w:hanging="1410"/>
        <w:rPr>
          <w:color w:val="auto"/>
          <w:lang w:val="en-US"/>
        </w:rPr>
      </w:pPr>
      <w:r>
        <w:rPr>
          <w:b/>
          <w:color w:val="auto"/>
          <w:lang w:val="en-US"/>
        </w:rPr>
        <w:t>2001-05</w:t>
      </w:r>
      <w:r>
        <w:rPr>
          <w:color w:val="auto"/>
          <w:lang w:val="en-US"/>
        </w:rPr>
        <w:tab/>
      </w:r>
      <w:r>
        <w:rPr>
          <w:color w:val="auto"/>
          <w:spacing w:val="-6"/>
          <w:lang w:val="en-US"/>
        </w:rPr>
        <w:t xml:space="preserve">Undergraduate teaching. Assistance in teaching in courses for a </w:t>
      </w:r>
      <w:r>
        <w:rPr>
          <w:noProof/>
          <w:color w:val="auto"/>
          <w:spacing w:val="-6"/>
          <w:lang w:val="en-US"/>
        </w:rPr>
        <w:t>medical</w:t>
      </w:r>
      <w:r>
        <w:rPr>
          <w:color w:val="auto"/>
          <w:spacing w:val="-6"/>
          <w:lang w:val="en-US"/>
        </w:rPr>
        <w:t xml:space="preserve"> student at the Uppsala University. </w:t>
      </w:r>
      <w:r>
        <w:rPr>
          <w:noProof/>
          <w:color w:val="auto"/>
          <w:spacing w:val="-6"/>
          <w:lang w:val="en-US"/>
        </w:rPr>
        <w:t>Teaching</w:t>
      </w:r>
      <w:r>
        <w:rPr>
          <w:color w:val="auto"/>
          <w:spacing w:val="-6"/>
          <w:lang w:val="en-US"/>
        </w:rPr>
        <w:t xml:space="preserve"> based on scripts. Tuition </w:t>
      </w:r>
      <w:r>
        <w:rPr>
          <w:noProof/>
          <w:color w:val="auto"/>
          <w:spacing w:val="-6"/>
          <w:lang w:val="en-US"/>
        </w:rPr>
        <w:t>for</w:t>
      </w:r>
      <w:r>
        <w:rPr>
          <w:color w:val="auto"/>
          <w:spacing w:val="-6"/>
          <w:lang w:val="en-US"/>
        </w:rPr>
        <w:t xml:space="preserve"> two </w:t>
      </w:r>
      <w:r>
        <w:rPr>
          <w:noProof/>
          <w:color w:val="auto"/>
          <w:spacing w:val="-6"/>
          <w:lang w:val="en-US"/>
        </w:rPr>
        <w:t>undergrads</w:t>
      </w:r>
      <w:r>
        <w:rPr>
          <w:color w:val="auto"/>
          <w:spacing w:val="-6"/>
          <w:lang w:val="en-US"/>
        </w:rPr>
        <w:t xml:space="preserve"> and two graduate students: N. Jura and L. Petersson.</w:t>
      </w:r>
    </w:p>
    <w:p>
      <w:pPr>
        <w:ind w:left="1410" w:hanging="1410"/>
        <w:rPr>
          <w:lang w:val="en-US"/>
        </w:rPr>
      </w:pPr>
      <w:r>
        <w:rPr>
          <w:b/>
          <w:color w:val="auto"/>
          <w:lang w:val="en-US"/>
        </w:rPr>
        <w:t>1999</w:t>
      </w:r>
      <w:r>
        <w:rPr>
          <w:color w:val="auto"/>
          <w:lang w:val="en-US"/>
        </w:rPr>
        <w:tab/>
      </w:r>
      <w:r>
        <w:rPr>
          <w:color w:val="auto"/>
          <w:spacing w:val="-2"/>
          <w:lang w:val="en-US"/>
        </w:rPr>
        <w:t xml:space="preserve">Undergraduate </w:t>
      </w:r>
      <w:r>
        <w:rPr>
          <w:noProof/>
          <w:color w:val="auto"/>
          <w:spacing w:val="-2"/>
          <w:lang w:val="en-US"/>
        </w:rPr>
        <w:t>education</w:t>
      </w:r>
      <w:r>
        <w:rPr>
          <w:color w:val="auto"/>
          <w:spacing w:val="-2"/>
          <w:lang w:val="en-US"/>
        </w:rPr>
        <w:t xml:space="preserve">. Teaching assistant on the main study course for biotechnology students at </w:t>
      </w:r>
      <w:r>
        <w:rPr>
          <w:color w:val="auto"/>
          <w:spacing w:val="4"/>
          <w:lang w:val="en-US"/>
        </w:rPr>
        <w:t>Jagiellonian</w:t>
      </w:r>
      <w:r>
        <w:rPr>
          <w:color w:val="auto"/>
          <w:spacing w:val="-2"/>
          <w:lang w:val="en-US"/>
        </w:rPr>
        <w:t xml:space="preserve"> University: "Biochemistry–practical course</w:t>
      </w:r>
      <w:r>
        <w:rPr>
          <w:noProof/>
          <w:color w:val="auto"/>
          <w:spacing w:val="-2"/>
          <w:lang w:val="en-US"/>
        </w:rPr>
        <w:t>."</w:t>
      </w:r>
      <w:r>
        <w:rPr>
          <w:color w:val="auto"/>
          <w:spacing w:val="-2"/>
          <w:lang w:val="en-US"/>
        </w:rPr>
        <w:t xml:space="preserve"> Detection and characterization of mono- and polysaccharides. Isolation, </w:t>
      </w:r>
      <w:r>
        <w:rPr>
          <w:noProof/>
          <w:color w:val="auto"/>
          <w:spacing w:val="-2"/>
          <w:lang w:val="en-US"/>
        </w:rPr>
        <w:t>purification,</w:t>
      </w:r>
      <w:r>
        <w:rPr>
          <w:color w:val="auto"/>
          <w:spacing w:val="-2"/>
          <w:lang w:val="en-US"/>
        </w:rPr>
        <w:t xml:space="preserve"> and separation of nucleic acids. </w:t>
      </w:r>
      <w:r>
        <w:rPr>
          <w:noProof/>
          <w:color w:val="auto"/>
          <w:spacing w:val="-2"/>
          <w:lang w:val="en-US"/>
        </w:rPr>
        <w:t>Class</w:t>
      </w:r>
      <w:r>
        <w:rPr>
          <w:color w:val="auto"/>
          <w:spacing w:val="-2"/>
          <w:lang w:val="en-US"/>
        </w:rPr>
        <w:t xml:space="preserve"> time: 60 hours and, included a </w:t>
      </w:r>
      <w:r>
        <w:rPr>
          <w:noProof/>
          <w:color w:val="auto"/>
          <w:spacing w:val="-2"/>
          <w:lang w:val="en-US"/>
        </w:rPr>
        <w:t>theoretical introduction</w:t>
      </w:r>
      <w:r>
        <w:rPr>
          <w:color w:val="auto"/>
          <w:spacing w:val="-2"/>
          <w:lang w:val="en-US"/>
        </w:rPr>
        <w:t>, practical experimentation, and final examination of students. Teaching based on scripts and books). Examination test was self-developed. Leading Professor: Joanna Bereta.</w:t>
      </w:r>
      <w:bookmarkStart w:id="32" w:name="_Toc509402011"/>
      <w:bookmarkStart w:id="33" w:name="_Toc369009514"/>
      <w:r>
        <w:rPr>
          <w:lang w:val="en-US"/>
        </w:rPr>
        <w:br w:type="page"/>
      </w:r>
    </w:p>
    <w:p>
      <w:pPr>
        <w:pStyle w:val="Heading2"/>
        <w:rPr>
          <w:color w:val="auto"/>
        </w:rPr>
      </w:pPr>
      <w:r>
        <w:rPr>
          <w:color w:val="auto"/>
        </w:rPr>
        <w:t>Conferences and invited presentations</w:t>
      </w:r>
      <w:bookmarkEnd w:id="32"/>
    </w:p>
    <w:p>
      <w:pPr>
        <w:pStyle w:val="Heading3"/>
        <w:spacing w:before="60" w:after="120"/>
        <w:rPr>
          <w:lang w:val="en-US"/>
        </w:rPr>
      </w:pPr>
      <w:bookmarkStart w:id="34" w:name="_Toc509402012"/>
      <w:r>
        <w:rPr>
          <w:lang w:val="en-US"/>
        </w:rPr>
        <w:t>Selected Oral Presentations</w:t>
      </w:r>
      <w:bookmarkEnd w:id="33"/>
      <w:bookmarkEnd w:id="34"/>
    </w:p>
    <w:p>
      <w:pPr>
        <w:spacing w:after="120"/>
        <w:ind w:left="851" w:hanging="851"/>
        <w:rPr>
          <w:rFonts w:cstheme="minorHAnsi"/>
          <w:color w:val="auto"/>
        </w:rPr>
      </w:pPr>
      <w:r>
        <w:rPr>
          <w:color w:val="auto"/>
          <w:lang w:val="en-US"/>
        </w:rPr>
        <w:t>2018</w:t>
      </w:r>
      <w:r>
        <w:rPr>
          <w:color w:val="auto"/>
          <w:lang w:val="en-US"/>
        </w:rPr>
        <w:tab/>
      </w:r>
      <w:r>
        <w:rPr>
          <w:rFonts w:cstheme="minorHAnsi"/>
          <w:i/>
          <w:color w:val="auto"/>
        </w:rPr>
        <w:t xml:space="preserve">Normalized revascularization permits a subcutaneous grafting of pancreatic islets into an induced immune-privileged site. </w:t>
      </w:r>
      <w:r>
        <w:rPr>
          <w:rFonts w:cstheme="minorHAnsi"/>
          <w:b/>
          <w:color w:val="auto"/>
        </w:rPr>
        <w:t>Vascular Biology</w:t>
      </w:r>
      <w:r>
        <w:rPr>
          <w:rFonts w:cstheme="minorHAnsi"/>
          <w:color w:val="auto"/>
        </w:rPr>
        <w:t xml:space="preserve"> </w:t>
      </w:r>
      <w:r>
        <w:rPr>
          <w:rFonts w:cstheme="minorHAnsi"/>
          <w:b/>
          <w:color w:val="auto"/>
        </w:rPr>
        <w:t>2018</w:t>
      </w:r>
      <w:r>
        <w:rPr>
          <w:rFonts w:cstheme="minorHAnsi"/>
          <w:color w:val="auto"/>
        </w:rPr>
        <w:t xml:space="preserve">, Newport, RI, USA. </w:t>
      </w:r>
      <w:r>
        <w:rPr>
          <w:color w:val="auto"/>
          <w:lang w:val="en-US"/>
        </w:rPr>
        <w:t>Poster judge at the Immunity session</w:t>
      </w:r>
    </w:p>
    <w:p>
      <w:pPr>
        <w:ind w:left="851" w:hanging="851"/>
        <w:rPr>
          <w:color w:val="auto"/>
          <w:lang w:val="en-US"/>
        </w:rPr>
      </w:pPr>
      <w:r>
        <w:rPr>
          <w:color w:val="auto"/>
          <w:lang w:val="en-US"/>
        </w:rPr>
        <w:t>2018</w:t>
      </w:r>
      <w:r>
        <w:rPr>
          <w:color w:val="auto"/>
          <w:lang w:val="en-US"/>
        </w:rPr>
        <w:tab/>
      </w:r>
      <w:r>
        <w:rPr>
          <w:i/>
          <w:color w:val="auto"/>
          <w:lang w:val="en-US"/>
        </w:rPr>
        <w:t>Study of the migratory phase of filaria infection as an example application of tissue whole-mount imaging techniques</w:t>
      </w:r>
      <w:r>
        <w:rPr>
          <w:color w:val="auto"/>
          <w:lang w:val="en-US"/>
        </w:rPr>
        <w:t xml:space="preserve">. </w:t>
      </w:r>
      <w:r>
        <w:rPr>
          <w:b/>
          <w:color w:val="auto"/>
          <w:lang w:val="en-US"/>
        </w:rPr>
        <w:t xml:space="preserve">GRS on Lymphatics, </w:t>
      </w:r>
      <w:r>
        <w:rPr>
          <w:color w:val="auto"/>
          <w:lang w:val="en-US"/>
        </w:rPr>
        <w:t xml:space="preserve">Il Ciocco, Italy </w:t>
      </w:r>
    </w:p>
    <w:p>
      <w:pPr>
        <w:ind w:left="851" w:hanging="851"/>
        <w:rPr>
          <w:color w:val="auto"/>
          <w:lang w:val="en-US"/>
        </w:rPr>
      </w:pPr>
      <w:r>
        <w:rPr>
          <w:color w:val="auto"/>
          <w:lang w:val="en-US"/>
        </w:rPr>
        <w:t>2017</w:t>
      </w:r>
      <w:r>
        <w:rPr>
          <w:color w:val="auto"/>
          <w:lang w:val="en-US"/>
        </w:rPr>
        <w:tab/>
      </w:r>
      <w:r>
        <w:rPr>
          <w:i/>
          <w:color w:val="auto"/>
          <w:lang w:val="en-US"/>
        </w:rPr>
        <w:t xml:space="preserve">Local induction of lymphangiogenesis with engineered fibrin-binding VEGF-C promotes wound healing by increasing immune cell trafficking and matrix </w:t>
      </w:r>
      <w:r>
        <w:rPr>
          <w:i/>
          <w:noProof/>
          <w:color w:val="auto"/>
          <w:lang w:val="en-US"/>
        </w:rPr>
        <w:t>remodeling</w:t>
      </w:r>
      <w:r>
        <w:rPr>
          <w:color w:val="auto"/>
          <w:lang w:val="en-US"/>
        </w:rPr>
        <w:t xml:space="preserve">. </w:t>
      </w:r>
      <w:r>
        <w:rPr>
          <w:b/>
          <w:color w:val="auto"/>
          <w:lang w:val="en-US"/>
        </w:rPr>
        <w:t>Lymphatic forum</w:t>
      </w:r>
      <w:r>
        <w:rPr>
          <w:color w:val="auto"/>
          <w:lang w:val="en-US"/>
        </w:rPr>
        <w:t>, Chicago, USA</w:t>
      </w:r>
    </w:p>
    <w:p>
      <w:pPr>
        <w:ind w:left="851" w:hanging="851"/>
        <w:rPr>
          <w:color w:val="auto"/>
          <w:lang w:val="en-US"/>
        </w:rPr>
      </w:pPr>
      <w:r>
        <w:rPr>
          <w:color w:val="auto"/>
          <w:lang w:val="en-US"/>
        </w:rPr>
        <w:t>2016</w:t>
      </w:r>
      <w:r>
        <w:rPr>
          <w:color w:val="auto"/>
          <w:lang w:val="en-US"/>
        </w:rPr>
        <w:tab/>
      </w:r>
      <w:r>
        <w:rPr>
          <w:i/>
          <w:color w:val="auto"/>
          <w:lang w:val="en-US"/>
        </w:rPr>
        <w:t>Engaging lymphatic control of lymph fluidity to block antigen drainage and prolong acceptance of subcutaneous allografts</w:t>
      </w:r>
      <w:r>
        <w:rPr>
          <w:color w:val="auto"/>
          <w:lang w:val="en-US"/>
        </w:rPr>
        <w:t xml:space="preserve">. </w:t>
      </w:r>
      <w:r>
        <w:rPr>
          <w:b/>
          <w:color w:val="auto"/>
          <w:lang w:val="en-US"/>
        </w:rPr>
        <w:t>EMBL Australia Group Leader Interview</w:t>
      </w:r>
      <w:r>
        <w:rPr>
          <w:color w:val="auto"/>
          <w:lang w:val="en-US"/>
        </w:rPr>
        <w:t>, Melbourne, Australia</w:t>
      </w:r>
    </w:p>
    <w:p>
      <w:pPr>
        <w:ind w:left="851" w:hanging="851"/>
        <w:rPr>
          <w:color w:val="auto"/>
          <w:lang w:val="en-US"/>
        </w:rPr>
      </w:pPr>
      <w:r>
        <w:rPr>
          <w:color w:val="auto"/>
          <w:lang w:val="en-US"/>
        </w:rPr>
        <w:t>2015</w:t>
      </w:r>
      <w:r>
        <w:rPr>
          <w:color w:val="auto"/>
          <w:lang w:val="en-US"/>
        </w:rPr>
        <w:tab/>
      </w:r>
      <w:r>
        <w:rPr>
          <w:i/>
          <w:color w:val="auto"/>
          <w:lang w:val="en-US"/>
        </w:rPr>
        <w:t xml:space="preserve">Lymphatic control of lymph fluidity to </w:t>
      </w:r>
      <w:r>
        <w:rPr>
          <w:i/>
          <w:noProof/>
          <w:color w:val="auto"/>
          <w:lang w:val="en-US"/>
        </w:rPr>
        <w:t>block</w:t>
      </w:r>
      <w:r>
        <w:rPr>
          <w:i/>
          <w:color w:val="auto"/>
          <w:lang w:val="en-US"/>
        </w:rPr>
        <w:t xml:space="preserve"> the tissue drainage and </w:t>
      </w:r>
      <w:r>
        <w:rPr>
          <w:i/>
          <w:noProof/>
          <w:color w:val="auto"/>
          <w:lang w:val="en-US"/>
        </w:rPr>
        <w:t>extend</w:t>
      </w:r>
      <w:r>
        <w:rPr>
          <w:i/>
          <w:color w:val="auto"/>
          <w:lang w:val="en-US"/>
        </w:rPr>
        <w:t xml:space="preserve"> acceptance of subcutaneous allografts</w:t>
      </w:r>
      <w:r>
        <w:rPr>
          <w:color w:val="auto"/>
          <w:lang w:val="en-US"/>
        </w:rPr>
        <w:t xml:space="preserve">. </w:t>
      </w:r>
      <w:r>
        <w:rPr>
          <w:b/>
          <w:color w:val="auto"/>
          <w:lang w:val="en-US"/>
        </w:rPr>
        <w:t>Lymphatic Forum</w:t>
      </w:r>
      <w:r>
        <w:rPr>
          <w:color w:val="auto"/>
          <w:lang w:val="en-US"/>
        </w:rPr>
        <w:t>, Chicago, USA</w:t>
      </w:r>
    </w:p>
    <w:p>
      <w:pPr>
        <w:ind w:left="851" w:hanging="851"/>
        <w:rPr>
          <w:color w:val="auto"/>
          <w:lang w:val="en-US"/>
        </w:rPr>
      </w:pPr>
      <w:r>
        <w:rPr>
          <w:color w:val="auto"/>
          <w:lang w:val="en-US"/>
        </w:rPr>
        <w:t>2015</w:t>
      </w:r>
      <w:r>
        <w:rPr>
          <w:color w:val="auto"/>
          <w:lang w:val="en-US"/>
        </w:rPr>
        <w:tab/>
      </w:r>
      <w:r>
        <w:rPr>
          <w:i/>
          <w:color w:val="auto"/>
          <w:lang w:val="en-US"/>
        </w:rPr>
        <w:t>Exploiting morpho-physiological features of collecting lymphatics to control antigen-specific immunity</w:t>
      </w:r>
      <w:r>
        <w:rPr>
          <w:color w:val="auto"/>
          <w:lang w:val="en-US"/>
        </w:rPr>
        <w:t xml:space="preserve">. Faculty talk at the </w:t>
      </w:r>
      <w:r>
        <w:rPr>
          <w:b/>
          <w:color w:val="auto"/>
          <w:lang w:val="en-US"/>
        </w:rPr>
        <w:t>Institute of Anatomy, University of Bern</w:t>
      </w:r>
      <w:r>
        <w:rPr>
          <w:color w:val="auto"/>
          <w:lang w:val="en-US"/>
        </w:rPr>
        <w:t>, Switzerland</w:t>
      </w:r>
    </w:p>
    <w:p>
      <w:pPr>
        <w:ind w:left="851" w:hanging="851"/>
        <w:rPr>
          <w:color w:val="auto"/>
          <w:lang w:val="en-US"/>
        </w:rPr>
      </w:pPr>
      <w:r>
        <w:rPr>
          <w:color w:val="auto"/>
          <w:lang w:val="en-US"/>
        </w:rPr>
        <w:t>2013</w:t>
      </w:r>
      <w:r>
        <w:rPr>
          <w:color w:val="auto"/>
          <w:lang w:val="en-US"/>
        </w:rPr>
        <w:tab/>
      </w:r>
      <w:r>
        <w:rPr>
          <w:i/>
          <w:color w:val="auto"/>
          <w:lang w:val="en-US"/>
        </w:rPr>
        <w:t xml:space="preserve">Imaging matrix heterogeneity, </w:t>
      </w:r>
      <w:r>
        <w:rPr>
          <w:i/>
          <w:noProof/>
          <w:color w:val="auto"/>
          <w:lang w:val="en-US"/>
        </w:rPr>
        <w:t>metastasis,</w:t>
      </w:r>
      <w:r>
        <w:rPr>
          <w:i/>
          <w:color w:val="auto"/>
          <w:lang w:val="en-US"/>
        </w:rPr>
        <w:t xml:space="preserve"> and immune surveillance in mouse melanoma.</w:t>
      </w:r>
      <w:r>
        <w:rPr>
          <w:color w:val="auto"/>
          <w:lang w:val="en-US"/>
        </w:rPr>
        <w:t xml:space="preserve"> Faculty talk at the </w:t>
      </w:r>
      <w:r>
        <w:rPr>
          <w:b/>
          <w:color w:val="auto"/>
          <w:lang w:val="en-US"/>
        </w:rPr>
        <w:t>Rudbeck Laboratories, Uppsala University</w:t>
      </w:r>
      <w:r>
        <w:rPr>
          <w:color w:val="auto"/>
          <w:lang w:val="en-US"/>
        </w:rPr>
        <w:t>, Sweden</w:t>
      </w:r>
    </w:p>
    <w:p>
      <w:pPr>
        <w:ind w:left="851" w:hanging="851"/>
        <w:rPr>
          <w:color w:val="auto"/>
          <w:lang w:val="en-US"/>
        </w:rPr>
      </w:pPr>
      <w:r>
        <w:rPr>
          <w:color w:val="auto"/>
          <w:lang w:val="en-US"/>
        </w:rPr>
        <w:t>2013</w:t>
      </w:r>
      <w:r>
        <w:rPr>
          <w:color w:val="auto"/>
          <w:lang w:val="en-US"/>
        </w:rPr>
        <w:tab/>
      </w:r>
      <w:r>
        <w:rPr>
          <w:i/>
          <w:noProof/>
          <w:color w:val="auto"/>
          <w:lang w:val="en-US"/>
        </w:rPr>
        <w:t>Live imaging</w:t>
      </w:r>
      <w:r>
        <w:rPr>
          <w:i/>
          <w:color w:val="auto"/>
          <w:lang w:val="en-US"/>
        </w:rPr>
        <w:t xml:space="preserve"> of metastatic cell interactions with tumor matrix</w:t>
      </w:r>
      <w:r>
        <w:rPr>
          <w:color w:val="auto"/>
          <w:lang w:val="en-US"/>
        </w:rPr>
        <w:t xml:space="preserve">. </w:t>
      </w:r>
      <w:r>
        <w:rPr>
          <w:b/>
          <w:color w:val="auto"/>
          <w:lang w:val="en-US"/>
        </w:rPr>
        <w:t>5th Conference on Imaging of Tumor Matrix Heterogeneity Tumor-Host Interaction and Angiogenesis</w:t>
      </w:r>
      <w:r>
        <w:rPr>
          <w:color w:val="auto"/>
          <w:lang w:val="en-US"/>
        </w:rPr>
        <w:t>, Ascona, Switzerland</w:t>
      </w:r>
    </w:p>
    <w:p>
      <w:pPr>
        <w:ind w:left="851" w:hanging="851"/>
        <w:rPr>
          <w:color w:val="auto"/>
          <w:lang w:val="en-US"/>
        </w:rPr>
      </w:pPr>
      <w:bookmarkStart w:id="35" w:name="_Ref348201845"/>
      <w:r>
        <w:rPr>
          <w:color w:val="auto"/>
          <w:lang w:val="en-US"/>
        </w:rPr>
        <w:t>2013</w:t>
      </w:r>
      <w:r>
        <w:rPr>
          <w:color w:val="auto"/>
          <w:lang w:val="en-US"/>
        </w:rPr>
        <w:tab/>
      </w:r>
      <w:r>
        <w:rPr>
          <w:i/>
          <w:noProof/>
          <w:color w:val="auto"/>
          <w:lang w:val="en-US"/>
        </w:rPr>
        <w:t>Live imaging</w:t>
      </w:r>
      <w:r>
        <w:rPr>
          <w:i/>
          <w:color w:val="auto"/>
          <w:lang w:val="en-US"/>
        </w:rPr>
        <w:t xml:space="preserve"> of metastatic cell interactions with components of the tumor matrix.</w:t>
      </w:r>
      <w:r>
        <w:rPr>
          <w:color w:val="auto"/>
          <w:lang w:val="en-US"/>
        </w:rPr>
        <w:t xml:space="preserve"> </w:t>
      </w:r>
      <w:r>
        <w:rPr>
          <w:b/>
          <w:color w:val="auto"/>
          <w:lang w:val="en-US"/>
        </w:rPr>
        <w:t xml:space="preserve">7th Winter Conference of the ESMI </w:t>
      </w:r>
      <w:r>
        <w:rPr>
          <w:color w:val="auto"/>
          <w:lang w:val="en-US"/>
        </w:rPr>
        <w:t>on</w:t>
      </w:r>
      <w:r>
        <w:rPr>
          <w:b/>
          <w:color w:val="auto"/>
          <w:lang w:val="en-US"/>
        </w:rPr>
        <w:t xml:space="preserve"> Imaging Hallmarks of Cancer</w:t>
      </w:r>
      <w:r>
        <w:rPr>
          <w:color w:val="auto"/>
          <w:lang w:val="en-US"/>
        </w:rPr>
        <w:t xml:space="preserve"> in Les Houches, France</w:t>
      </w:r>
      <w:bookmarkEnd w:id="35"/>
    </w:p>
    <w:p>
      <w:pPr>
        <w:ind w:left="851" w:hanging="851"/>
        <w:rPr>
          <w:rFonts w:cs="Gentium Plus"/>
          <w:color w:val="auto"/>
          <w:lang w:val="en-US"/>
        </w:rPr>
      </w:pPr>
      <w:r>
        <w:rPr>
          <w:color w:val="auto"/>
          <w:lang w:val="en-US"/>
        </w:rPr>
        <w:t>2012</w:t>
      </w:r>
      <w:r>
        <w:rPr>
          <w:color w:val="auto"/>
          <w:lang w:val="en-US"/>
        </w:rPr>
        <w:tab/>
      </w:r>
      <w:r>
        <w:rPr>
          <w:i/>
          <w:color w:val="auto"/>
          <w:lang w:val="en-US"/>
        </w:rPr>
        <w:t>Looping angiogenesis, can solid tumors recruit neo-vessels by non-sprouting vessel growth?</w:t>
      </w:r>
      <w:r>
        <w:rPr>
          <w:color w:val="auto"/>
          <w:lang w:val="en-US"/>
        </w:rPr>
        <w:t xml:space="preserve"> Faculty talk at the </w:t>
      </w:r>
      <w:r>
        <w:rPr>
          <w:b/>
          <w:color w:val="auto"/>
          <w:lang w:val="en-US"/>
        </w:rPr>
        <w:t>Breakthrough TR Breast Cancer Research Centre</w:t>
      </w:r>
      <w:r>
        <w:rPr>
          <w:color w:val="auto"/>
          <w:lang w:val="en-US"/>
        </w:rPr>
        <w:t>, London, UK</w:t>
      </w:r>
    </w:p>
    <w:p>
      <w:pPr>
        <w:ind w:left="851" w:hanging="851"/>
        <w:rPr>
          <w:color w:val="auto"/>
          <w:lang w:val="en-US"/>
        </w:rPr>
      </w:pPr>
      <w:r>
        <w:rPr>
          <w:color w:val="auto"/>
          <w:lang w:val="en-US"/>
        </w:rPr>
        <w:t>2012</w:t>
      </w:r>
      <w:r>
        <w:rPr>
          <w:color w:val="auto"/>
          <w:lang w:val="en-US"/>
        </w:rPr>
        <w:tab/>
      </w:r>
      <w:r>
        <w:rPr>
          <w:i/>
          <w:noProof/>
          <w:color w:val="auto"/>
          <w:lang w:val="en-US"/>
        </w:rPr>
        <w:t>Live imaging</w:t>
      </w:r>
      <w:r>
        <w:rPr>
          <w:i/>
          <w:color w:val="auto"/>
          <w:lang w:val="en-US"/>
        </w:rPr>
        <w:t xml:space="preserve"> of metastatic cell interactions with components of the tumor matrix</w:t>
      </w:r>
      <w:r>
        <w:rPr>
          <w:color w:val="auto"/>
          <w:lang w:val="en-US"/>
        </w:rPr>
        <w:t xml:space="preserve">. </w:t>
      </w:r>
      <w:r>
        <w:rPr>
          <w:b/>
          <w:color w:val="auto"/>
          <w:lang w:val="en-US"/>
        </w:rPr>
        <w:t>Tumor Ecosystem in Cancer Metastasis</w:t>
      </w:r>
      <w:r>
        <w:rPr>
          <w:color w:val="auto"/>
          <w:lang w:val="en-US"/>
        </w:rPr>
        <w:t>, Niece, France</w:t>
      </w:r>
    </w:p>
    <w:p>
      <w:pPr>
        <w:ind w:left="851" w:hanging="851"/>
        <w:rPr>
          <w:color w:val="auto"/>
          <w:lang w:val="en-US"/>
        </w:rPr>
      </w:pPr>
      <w:r>
        <w:rPr>
          <w:color w:val="auto"/>
          <w:lang w:val="en-US"/>
        </w:rPr>
        <w:t>2012</w:t>
      </w:r>
      <w:r>
        <w:rPr>
          <w:color w:val="auto"/>
          <w:lang w:val="en-US"/>
        </w:rPr>
        <w:tab/>
      </w:r>
      <w:r>
        <w:rPr>
          <w:i/>
          <w:noProof/>
          <w:color w:val="auto"/>
          <w:lang w:val="en-US"/>
        </w:rPr>
        <w:t>Intravital immunofluorescence</w:t>
      </w:r>
      <w:r>
        <w:rPr>
          <w:i/>
          <w:color w:val="auto"/>
          <w:lang w:val="en-US"/>
        </w:rPr>
        <w:t xml:space="preserve"> within dermis microenvironment</w:t>
      </w:r>
      <w:r>
        <w:rPr>
          <w:color w:val="auto"/>
          <w:lang w:val="en-US"/>
        </w:rPr>
        <w:t xml:space="preserve">. </w:t>
      </w:r>
      <w:r>
        <w:rPr>
          <w:b/>
          <w:color w:val="auto"/>
          <w:lang w:val="en-US"/>
        </w:rPr>
        <w:t>GRC</w:t>
      </w:r>
      <w:r>
        <w:rPr>
          <w:color w:val="auto"/>
          <w:lang w:val="en-US"/>
        </w:rPr>
        <w:t xml:space="preserve"> </w:t>
      </w:r>
      <w:r>
        <w:rPr>
          <w:b/>
          <w:color w:val="auto"/>
          <w:lang w:val="en-US"/>
        </w:rPr>
        <w:t>on Lymphatic</w:t>
      </w:r>
      <w:r>
        <w:rPr>
          <w:color w:val="auto"/>
          <w:lang w:val="en-US"/>
        </w:rPr>
        <w:t>, Ventura, USA</w:t>
      </w:r>
    </w:p>
    <w:p>
      <w:pPr>
        <w:ind w:left="851" w:hanging="851"/>
        <w:rPr>
          <w:color w:val="auto"/>
          <w:lang w:val="en-US"/>
        </w:rPr>
      </w:pPr>
      <w:r>
        <w:rPr>
          <w:color w:val="auto"/>
          <w:lang w:val="en-US"/>
        </w:rPr>
        <w:t>2011</w:t>
      </w:r>
      <w:r>
        <w:rPr>
          <w:color w:val="auto"/>
          <w:lang w:val="en-US"/>
        </w:rPr>
        <w:tab/>
      </w:r>
      <w:r>
        <w:rPr>
          <w:i/>
          <w:color w:val="auto"/>
          <w:lang w:val="en-US"/>
        </w:rPr>
        <w:t>Selective photodynamic occlusion of lymphatic vessels</w:t>
      </w:r>
      <w:r>
        <w:rPr>
          <w:color w:val="auto"/>
          <w:lang w:val="en-US"/>
        </w:rPr>
        <w:t xml:space="preserve">. </w:t>
      </w:r>
      <w:r>
        <w:rPr>
          <w:b/>
          <w:color w:val="auto"/>
          <w:lang w:val="en-US"/>
        </w:rPr>
        <w:t>GRC on Angiogenesis</w:t>
      </w:r>
      <w:r>
        <w:rPr>
          <w:color w:val="auto"/>
          <w:lang w:val="en-US"/>
        </w:rPr>
        <w:t>, Salve Regina, Newport, RI, USA</w:t>
      </w:r>
    </w:p>
    <w:p>
      <w:pPr>
        <w:pStyle w:val="Heading3"/>
        <w:spacing w:before="240" w:after="240"/>
        <w:rPr>
          <w:lang w:val="en-US"/>
        </w:rPr>
      </w:pPr>
      <w:bookmarkStart w:id="36" w:name="_Toc369009515"/>
      <w:bookmarkStart w:id="37" w:name="_Toc509402013"/>
      <w:r>
        <w:rPr>
          <w:lang w:val="en-US"/>
        </w:rPr>
        <w:t>Selected Poster Presentations</w:t>
      </w:r>
      <w:bookmarkEnd w:id="36"/>
      <w:bookmarkEnd w:id="37"/>
    </w:p>
    <w:p>
      <w:pPr>
        <w:ind w:left="851" w:hanging="851"/>
        <w:rPr>
          <w:color w:val="auto"/>
          <w:lang w:val="en-US"/>
        </w:rPr>
      </w:pPr>
      <w:r>
        <w:rPr>
          <w:color w:val="auto"/>
          <w:lang w:val="en-US"/>
        </w:rPr>
        <w:t>2018</w:t>
      </w:r>
      <w:r>
        <w:rPr>
          <w:color w:val="auto"/>
          <w:lang w:val="en-US"/>
        </w:rPr>
        <w:tab/>
        <w:t>Local occlusion of lymphatics permits immunosuppression-free transplantation of pancreatic islets into a subcutaneous immune-privileged zone.</w:t>
      </w:r>
      <w:r>
        <w:rPr>
          <w:bCs/>
          <w:color w:val="auto"/>
          <w:lang w:val="en-US"/>
        </w:rPr>
        <w:t xml:space="preserve"> </w:t>
      </w:r>
      <w:r>
        <w:rPr>
          <w:b/>
          <w:bCs/>
          <w:color w:val="auto"/>
        </w:rPr>
        <w:t>Frontiers in Islet Biology and Diabetes</w:t>
      </w:r>
      <w:r>
        <w:rPr>
          <w:bCs/>
          <w:color w:val="auto"/>
        </w:rPr>
        <w:t>, Keystone, USA</w:t>
      </w:r>
    </w:p>
    <w:p>
      <w:pPr>
        <w:ind w:left="851" w:hanging="851"/>
        <w:rPr>
          <w:color w:val="auto"/>
          <w:lang w:val="en-US"/>
        </w:rPr>
      </w:pPr>
      <w:r>
        <w:rPr>
          <w:color w:val="auto"/>
          <w:lang w:val="en-US"/>
        </w:rPr>
        <w:t>2016</w:t>
      </w:r>
      <w:r>
        <w:rPr>
          <w:color w:val="auto"/>
          <w:lang w:val="en-US"/>
        </w:rPr>
        <w:tab/>
      </w:r>
      <w:r>
        <w:rPr>
          <w:i/>
          <w:color w:val="auto"/>
          <w:lang w:val="en-US"/>
        </w:rPr>
        <w:t xml:space="preserve">Lymphatic control of lymph fluidity to block the tissue drainage and prolong acceptance of subcutaneous allografts. </w:t>
      </w:r>
      <w:r>
        <w:rPr>
          <w:b/>
          <w:color w:val="auto"/>
          <w:lang w:val="en-US"/>
        </w:rPr>
        <w:t>GRC</w:t>
      </w:r>
      <w:r>
        <w:rPr>
          <w:color w:val="auto"/>
          <w:lang w:val="en-US"/>
        </w:rPr>
        <w:t xml:space="preserve"> </w:t>
      </w:r>
      <w:r>
        <w:rPr>
          <w:b/>
          <w:color w:val="auto"/>
          <w:lang w:val="en-US"/>
        </w:rPr>
        <w:t>on Lymphatic</w:t>
      </w:r>
      <w:r>
        <w:rPr>
          <w:color w:val="auto"/>
          <w:lang w:val="en-US"/>
        </w:rPr>
        <w:t>, Ventura, USA</w:t>
      </w:r>
    </w:p>
    <w:p>
      <w:pPr>
        <w:ind w:left="851" w:hanging="851"/>
        <w:rPr>
          <w:color w:val="auto"/>
          <w:lang w:val="en-US"/>
        </w:rPr>
      </w:pPr>
      <w:r>
        <w:rPr>
          <w:color w:val="auto"/>
          <w:lang w:val="en-US"/>
        </w:rPr>
        <w:t>2014</w:t>
      </w:r>
      <w:r>
        <w:rPr>
          <w:color w:val="auto"/>
          <w:lang w:val="en-US"/>
        </w:rPr>
        <w:tab/>
      </w:r>
      <w:r>
        <w:rPr>
          <w:i/>
          <w:color w:val="auto"/>
          <w:lang w:val="en-US"/>
        </w:rPr>
        <w:t xml:space="preserve">Induced intravascular lymph coagulation </w:t>
      </w:r>
      <w:r>
        <w:rPr>
          <w:i/>
          <w:noProof/>
          <w:color w:val="auto"/>
          <w:lang w:val="en-US"/>
        </w:rPr>
        <w:t>blocks</w:t>
      </w:r>
      <w:r>
        <w:rPr>
          <w:i/>
          <w:color w:val="auto"/>
          <w:lang w:val="en-US"/>
        </w:rPr>
        <w:t xml:space="preserve"> tissue drainage and </w:t>
      </w:r>
      <w:r>
        <w:rPr>
          <w:i/>
          <w:noProof/>
          <w:color w:val="auto"/>
          <w:lang w:val="en-US"/>
        </w:rPr>
        <w:t>extends</w:t>
      </w:r>
      <w:r>
        <w:rPr>
          <w:i/>
          <w:color w:val="auto"/>
          <w:lang w:val="en-US"/>
        </w:rPr>
        <w:t xml:space="preserve"> the acceptance of subcutaneous grafts.</w:t>
      </w:r>
      <w:r>
        <w:rPr>
          <w:color w:val="auto"/>
          <w:lang w:val="en-US"/>
        </w:rPr>
        <w:t xml:space="preserve"> </w:t>
      </w:r>
      <w:r>
        <w:rPr>
          <w:b/>
          <w:color w:val="auto"/>
          <w:lang w:val="en-US"/>
        </w:rPr>
        <w:t>18th International Vascular Biology Meeting</w:t>
      </w:r>
      <w:r>
        <w:rPr>
          <w:color w:val="auto"/>
          <w:lang w:val="en-US"/>
        </w:rPr>
        <w:t>, Kyoto, Japan</w:t>
      </w:r>
    </w:p>
    <w:p>
      <w:pPr>
        <w:ind w:left="851" w:hanging="851"/>
        <w:rPr>
          <w:color w:val="auto"/>
          <w:lang w:val="en-US"/>
        </w:rPr>
      </w:pPr>
      <w:r>
        <w:rPr>
          <w:color w:val="auto"/>
          <w:lang w:val="en-US"/>
        </w:rPr>
        <w:t>2011</w:t>
      </w:r>
      <w:r>
        <w:rPr>
          <w:color w:val="auto"/>
          <w:lang w:val="en-US"/>
        </w:rPr>
        <w:tab/>
      </w:r>
      <w:r>
        <w:rPr>
          <w:i/>
          <w:color w:val="auto"/>
          <w:lang w:val="en-US"/>
        </w:rPr>
        <w:t>Lymphatic invasion of tumor cells and migration of cytotoxic leukocytes depends on matrix remodeling by tumor-associated fibroblasts.</w:t>
      </w:r>
      <w:r>
        <w:rPr>
          <w:color w:val="auto"/>
          <w:lang w:val="en-US"/>
        </w:rPr>
        <w:t xml:space="preserve"> </w:t>
      </w:r>
      <w:r>
        <w:rPr>
          <w:b/>
          <w:color w:val="auto"/>
          <w:lang w:val="en-US"/>
        </w:rPr>
        <w:t xml:space="preserve">AACR's Tumor Microenvironment, </w:t>
      </w:r>
      <w:r>
        <w:rPr>
          <w:color w:val="auto"/>
          <w:lang w:val="en-US"/>
        </w:rPr>
        <w:t>Orlando, USA</w:t>
      </w:r>
    </w:p>
    <w:p>
      <w:pPr>
        <w:ind w:left="851" w:hanging="851"/>
        <w:rPr>
          <w:color w:val="auto"/>
          <w:lang w:val="en-US"/>
        </w:rPr>
      </w:pPr>
      <w:r>
        <w:rPr>
          <w:color w:val="auto"/>
          <w:lang w:val="en-US"/>
        </w:rPr>
        <w:t>2009</w:t>
      </w:r>
      <w:r>
        <w:rPr>
          <w:color w:val="auto"/>
          <w:lang w:val="en-US"/>
        </w:rPr>
        <w:tab/>
      </w:r>
      <w:r>
        <w:rPr>
          <w:i/>
          <w:color w:val="auto"/>
          <w:lang w:val="en-US"/>
        </w:rPr>
        <w:t xml:space="preserve">Mechanical tension mediates and directs the </w:t>
      </w:r>
      <w:r>
        <w:rPr>
          <w:i/>
          <w:noProof/>
          <w:color w:val="auto"/>
          <w:lang w:val="en-US"/>
        </w:rPr>
        <w:t>growth</w:t>
      </w:r>
      <w:r>
        <w:rPr>
          <w:i/>
          <w:color w:val="auto"/>
          <w:lang w:val="en-US"/>
        </w:rPr>
        <w:t xml:space="preserve"> of vascularized tissue; </w:t>
      </w:r>
      <w:r>
        <w:rPr>
          <w:i/>
          <w:noProof/>
          <w:color w:val="auto"/>
          <w:lang w:val="en-US"/>
        </w:rPr>
        <w:t>a novel view on non-developmental angiogenesis</w:t>
      </w:r>
      <w:r>
        <w:rPr>
          <w:i/>
          <w:color w:val="auto"/>
          <w:lang w:val="en-US"/>
        </w:rPr>
        <w:t>.</w:t>
      </w:r>
      <w:r>
        <w:rPr>
          <w:b/>
          <w:color w:val="auto"/>
          <w:lang w:val="en-US"/>
        </w:rPr>
        <w:t xml:space="preserve"> GRC on Angiogenesis</w:t>
      </w:r>
      <w:r>
        <w:rPr>
          <w:color w:val="auto"/>
          <w:lang w:val="en-US"/>
        </w:rPr>
        <w:t>, Newport, USA</w:t>
      </w:r>
    </w:p>
    <w:p>
      <w:pPr>
        <w:ind w:left="851" w:hanging="851"/>
        <w:rPr>
          <w:color w:val="auto"/>
          <w:lang w:val="en-US"/>
        </w:rPr>
      </w:pPr>
      <w:r>
        <w:rPr>
          <w:rStyle w:val="style10"/>
          <w:rFonts w:cstheme="minorHAnsi"/>
          <w:color w:val="auto"/>
          <w:lang w:val="en-US"/>
        </w:rPr>
        <w:t>2006</w:t>
      </w:r>
      <w:r>
        <w:rPr>
          <w:rStyle w:val="style10"/>
          <w:rFonts w:cstheme="minorHAnsi"/>
          <w:color w:val="auto"/>
          <w:lang w:val="en-US"/>
        </w:rPr>
        <w:tab/>
      </w:r>
      <w:r>
        <w:rPr>
          <w:i/>
          <w:color w:val="auto"/>
          <w:lang w:val="en-US"/>
        </w:rPr>
        <w:t xml:space="preserve">In vivo biotinylation of the chicken </w:t>
      </w:r>
      <w:r>
        <w:rPr>
          <w:i/>
          <w:noProof/>
          <w:color w:val="auto"/>
          <w:lang w:val="en-US"/>
        </w:rPr>
        <w:t>organ-specific</w:t>
      </w:r>
      <w:r>
        <w:rPr>
          <w:i/>
          <w:color w:val="auto"/>
          <w:lang w:val="en-US"/>
        </w:rPr>
        <w:t xml:space="preserve">, granulation tissue, </w:t>
      </w:r>
      <w:r>
        <w:rPr>
          <w:i/>
          <w:noProof/>
          <w:color w:val="auto"/>
          <w:lang w:val="en-US"/>
        </w:rPr>
        <w:t>and</w:t>
      </w:r>
      <w:r>
        <w:rPr>
          <w:i/>
          <w:color w:val="auto"/>
          <w:lang w:val="en-US"/>
        </w:rPr>
        <w:t xml:space="preserve"> tumor endothelium. </w:t>
      </w:r>
      <w:r>
        <w:rPr>
          <w:rStyle w:val="Strong"/>
          <w:rFonts w:cstheme="minorHAnsi"/>
          <w:color w:val="auto"/>
          <w:lang w:val="en-US"/>
        </w:rPr>
        <w:t>6th</w:t>
      </w:r>
      <w:r>
        <w:rPr>
          <w:rStyle w:val="Strong"/>
          <w:rFonts w:cstheme="minorHAnsi"/>
          <w:b w:val="0"/>
          <w:color w:val="auto"/>
          <w:lang w:val="en-US"/>
        </w:rPr>
        <w:t xml:space="preserve"> </w:t>
      </w:r>
      <w:r>
        <w:rPr>
          <w:rStyle w:val="Strong"/>
          <w:rFonts w:cstheme="minorHAnsi"/>
          <w:color w:val="auto"/>
          <w:lang w:val="en-US"/>
        </w:rPr>
        <w:t>ESH Euro Conference</w:t>
      </w:r>
      <w:r>
        <w:rPr>
          <w:rStyle w:val="Strong"/>
          <w:rFonts w:cstheme="minorHAnsi"/>
          <w:b w:val="0"/>
          <w:color w:val="auto"/>
          <w:lang w:val="en-US"/>
        </w:rPr>
        <w:t xml:space="preserve"> </w:t>
      </w:r>
      <w:r>
        <w:rPr>
          <w:rStyle w:val="Strong"/>
          <w:rFonts w:cstheme="minorHAnsi"/>
          <w:color w:val="auto"/>
          <w:lang w:val="en-US"/>
        </w:rPr>
        <w:t>on Angiogenesis</w:t>
      </w:r>
      <w:r>
        <w:rPr>
          <w:rStyle w:val="Strong"/>
          <w:rFonts w:cstheme="minorHAnsi"/>
          <w:b w:val="0"/>
          <w:color w:val="auto"/>
          <w:lang w:val="en-US"/>
        </w:rPr>
        <w:t>,</w:t>
      </w:r>
      <w:r>
        <w:rPr>
          <w:rStyle w:val="style10"/>
          <w:rFonts w:cstheme="minorHAnsi"/>
          <w:color w:val="auto"/>
          <w:lang w:val="en-US"/>
        </w:rPr>
        <w:t xml:space="preserve"> </w:t>
      </w:r>
      <w:r>
        <w:rPr>
          <w:color w:val="auto"/>
          <w:lang w:val="en-US"/>
        </w:rPr>
        <w:t>Cannes,</w:t>
      </w:r>
      <w:r>
        <w:rPr>
          <w:rStyle w:val="style10"/>
          <w:rFonts w:cstheme="minorHAnsi"/>
          <w:color w:val="auto"/>
          <w:lang w:val="en-US"/>
        </w:rPr>
        <w:t xml:space="preserve"> France</w:t>
      </w:r>
    </w:p>
    <w:p>
      <w:pPr>
        <w:ind w:left="851" w:hanging="851"/>
        <w:rPr>
          <w:color w:val="auto"/>
          <w:lang w:val="en-US"/>
        </w:rPr>
      </w:pPr>
      <w:r>
        <w:rPr>
          <w:color w:val="auto"/>
          <w:lang w:val="en-US"/>
        </w:rPr>
        <w:t>2002</w:t>
      </w:r>
      <w:r>
        <w:rPr>
          <w:color w:val="auto"/>
          <w:lang w:val="en-US"/>
        </w:rPr>
        <w:tab/>
      </w:r>
      <w:r>
        <w:rPr>
          <w:rStyle w:val="Italic"/>
          <w:rFonts w:cstheme="minorHAnsi"/>
          <w:noProof/>
          <w:color w:val="auto"/>
          <w:lang w:val="en-US"/>
        </w:rPr>
        <w:t>A novel</w:t>
      </w:r>
      <w:r>
        <w:rPr>
          <w:rStyle w:val="Italic"/>
          <w:rFonts w:cstheme="minorHAnsi"/>
          <w:color w:val="auto"/>
          <w:lang w:val="en-US"/>
        </w:rPr>
        <w:t xml:space="preserve"> assay for study angiogenesis and lymphangiogenesis</w:t>
      </w:r>
      <w:r>
        <w:rPr>
          <w:color w:val="auto"/>
          <w:lang w:val="en-US"/>
        </w:rPr>
        <w:t xml:space="preserve">. </w:t>
      </w:r>
      <w:r>
        <w:rPr>
          <w:b/>
          <w:color w:val="auto"/>
          <w:lang w:val="en-US"/>
        </w:rPr>
        <w:t>Keystone Symposium on Angiogenesis in Cancer and Other Diseases</w:t>
      </w:r>
      <w:r>
        <w:rPr>
          <w:color w:val="auto"/>
          <w:lang w:val="en-US"/>
        </w:rPr>
        <w:t>, Banff, Canada</w:t>
      </w:r>
      <w:bookmarkEnd w:id="2"/>
      <w:bookmarkEnd w:id="17"/>
    </w:p>
    <w:p>
      <w:pPr>
        <w:ind w:left="851" w:hanging="851"/>
        <w:rPr>
          <w:color w:val="auto"/>
          <w:lang w:val="en-US"/>
        </w:rPr>
      </w:pPr>
    </w:p>
    <w:p>
      <w:pPr>
        <w:pStyle w:val="Heading2"/>
        <w:spacing w:before="0"/>
        <w:rPr>
          <w:rStyle w:val="Strong"/>
          <w:b w:val="0"/>
          <w:color w:val="auto"/>
        </w:rPr>
      </w:pPr>
      <w:bookmarkStart w:id="38" w:name="_Toc509402018"/>
      <w:r>
        <w:rPr>
          <w:rStyle w:val="Strong"/>
          <w:b w:val="0"/>
          <w:color w:val="auto"/>
        </w:rPr>
        <w:t>Personal Statement</w:t>
      </w:r>
    </w:p>
    <w:p>
      <w:pPr>
        <w:spacing w:before="60"/>
        <w:rPr>
          <w:color w:val="auto"/>
        </w:rPr>
      </w:pPr>
      <w:r>
        <w:rPr>
          <w:rFonts w:cstheme="minorHAnsi"/>
          <w:noProof/>
          <w:color w:val="auto"/>
        </w:rPr>
        <w:t>I must begin with a surprising observation that emerged only recently. While I was glimpsing through Natur</w:t>
      </w:r>
      <w:r>
        <w:rPr>
          <w:color w:val="auto"/>
        </w:rPr>
        <w:t>e’s career columns, a title of one subchapter, ‘</w:t>
      </w:r>
      <w:r>
        <w:rPr>
          <w:i/>
          <w:color w:val="auto"/>
        </w:rPr>
        <w:t>Get stuck after one failure,</w:t>
      </w:r>
      <w:r>
        <w:rPr>
          <w:color w:val="auto"/>
        </w:rPr>
        <w:t>’ triggered a revelation. I realized that I actually never failed in or abandoned any project. In fact, the history of my research, imprinted primarily in my first and last author publications, can illustrate t</w:t>
      </w:r>
      <w:r>
        <w:rPr>
          <w:rFonts w:cstheme="minorHAnsi"/>
          <w:noProof/>
          <w:color w:val="auto"/>
        </w:rPr>
        <w:t>he most notorious of my character traits, the compulsive perseverance in pursuit after the real nature of a thing.</w:t>
      </w:r>
    </w:p>
    <w:p>
      <w:pPr>
        <w:spacing w:before="60"/>
        <w:rPr>
          <w:rFonts w:cstheme="minorHAnsi"/>
          <w:color w:val="auto"/>
        </w:rPr>
      </w:pPr>
      <w:r>
        <w:rPr>
          <w:rFonts w:cstheme="minorHAnsi"/>
          <w:color w:val="auto"/>
        </w:rPr>
        <w:t>Trained as a molecular biologist</w:t>
      </w:r>
      <w:r>
        <w:rPr>
          <w:rFonts w:cstheme="minorHAnsi"/>
          <w:noProof/>
          <w:color w:val="auto"/>
        </w:rPr>
        <w:t>, I</w:t>
      </w:r>
      <w:r>
        <w:rPr>
          <w:rFonts w:cstheme="minorHAnsi"/>
          <w:color w:val="auto"/>
        </w:rPr>
        <w:t xml:space="preserve"> graduated from the Cracow Jagiellonian University. I started my Ph. D. training in the Vascular Biology group at the Uppsala University under the mentorship of Lena Claesson-Welsh, an </w:t>
      </w:r>
      <w:r>
        <w:rPr>
          <w:rFonts w:cstheme="minorHAnsi"/>
          <w:noProof/>
          <w:color w:val="auto"/>
        </w:rPr>
        <w:t>esteemed expert in</w:t>
      </w:r>
      <w:r>
        <w:rPr>
          <w:rFonts w:cstheme="minorHAnsi"/>
          <w:color w:val="auto"/>
        </w:rPr>
        <w:t xml:space="preserve"> signal transduction and vessel physiology, and her senior scientist Par Gerwins. My doctoral studies culminated with the discovery of a non-developmental, inflammatory-driven mechanism of growth of blood vessels. During my first postdoctoral training at the University of Bordeaux in the laboratory of Andreas Bikfalvi, an eminent angiogenesis researcher, I </w:t>
      </w:r>
      <w:r>
        <w:rPr>
          <w:rFonts w:cstheme="minorHAnsi"/>
          <w:noProof/>
          <w:color w:val="auto"/>
        </w:rPr>
        <w:t>initiated metabolomic</w:t>
      </w:r>
      <w:r>
        <w:rPr>
          <w:rFonts w:cstheme="minorHAnsi"/>
          <w:color w:val="auto"/>
        </w:rPr>
        <w:t xml:space="preserve"> and proteomic projects aiming at the comparison of pathological and </w:t>
      </w:r>
      <w:r>
        <w:rPr>
          <w:rFonts w:cstheme="minorHAnsi"/>
          <w:noProof/>
          <w:color w:val="auto"/>
        </w:rPr>
        <w:t>organ</w:t>
      </w:r>
      <w:r>
        <w:rPr>
          <w:rFonts w:cstheme="minorHAnsi"/>
          <w:color w:val="auto"/>
        </w:rPr>
        <w:t xml:space="preserve">-specific changes of blood vasculature. Later, at the École Polytechnique Fédérale de Lausanne, in the group of Melody Swartz, a </w:t>
      </w:r>
      <w:r>
        <w:rPr>
          <w:rFonts w:cstheme="minorHAnsi"/>
          <w:noProof/>
          <w:color w:val="auto"/>
        </w:rPr>
        <w:t>renowned leader in</w:t>
      </w:r>
      <w:r>
        <w:rPr>
          <w:rFonts w:cstheme="minorHAnsi"/>
          <w:color w:val="auto"/>
        </w:rPr>
        <w:t xml:space="preserve"> lymphatic and cancer mechanobiology. There I became interested in the imaging of various pathological processes that take place at the interfaces of extracellular matrices and the lumen of blood and lymphatic vessels.</w:t>
      </w:r>
    </w:p>
    <w:p>
      <w:pPr>
        <w:spacing w:before="60"/>
        <w:rPr>
          <w:color w:val="auto"/>
        </w:rPr>
      </w:pPr>
      <w:r>
        <w:rPr>
          <w:rFonts w:cstheme="minorHAnsi"/>
          <w:noProof/>
          <w:color w:val="auto"/>
        </w:rPr>
        <w:t xml:space="preserve">My first author publications are the milestones of my career that usually brought to an end a long and uncertain struggle with paradigms or ambiguous </w:t>
      </w:r>
      <w:r>
        <w:rPr>
          <w:rFonts w:cstheme="minorHAnsi"/>
          <w:bCs/>
          <w:noProof/>
          <w:color w:val="auto"/>
        </w:rPr>
        <w:t>hypotheses</w:t>
      </w:r>
      <w:r>
        <w:rPr>
          <w:rFonts w:cstheme="minorHAnsi"/>
          <w:noProof/>
          <w:color w:val="auto"/>
        </w:rPr>
        <w:t xml:space="preserve"> rooted in various biological fields of research.</w:t>
      </w:r>
      <w:r>
        <w:rPr>
          <w:rFonts w:cstheme="minorHAnsi"/>
          <w:color w:val="auto"/>
        </w:rPr>
        <w:t xml:space="preserve"> </w:t>
      </w:r>
      <w:r>
        <w:rPr>
          <w:color w:val="auto"/>
        </w:rPr>
        <w:t xml:space="preserve">The time-consuming persistence in overcoming obstacles often paid back, such as when Nature Medicine published my hypothesis backed by doctoral study-long research showing that tension-driven looping angiogenesis, that is, the biomechanical relocation and stretching of vessels dominates blood restoration in post-developmental inflammatory settings. Soon after, in Andreas Bikfalvi lab, I designed a system for </w:t>
      </w:r>
      <w:r>
        <w:rPr>
          <w:i/>
          <w:color w:val="auto"/>
        </w:rPr>
        <w:t>in vivo</w:t>
      </w:r>
      <w:r>
        <w:rPr>
          <w:color w:val="auto"/>
        </w:rPr>
        <w:t xml:space="preserve"> labelling of the chicken embryo vasculature, an invaluable tool for upcoming proteomic </w:t>
      </w:r>
      <w:r>
        <w:rPr>
          <w:rFonts w:cstheme="minorHAnsi"/>
          <w:noProof/>
          <w:color w:val="auto"/>
        </w:rPr>
        <w:t xml:space="preserve">projects. Fast forward a decade for two publications that sum up a large endeavor that unfolded from a single experiment aiming to verify a lymphatic preference by mouse filaria nematode. The results published in Nature Communications </w:t>
      </w:r>
      <w:r>
        <w:rPr>
          <w:color w:val="auto"/>
        </w:rPr>
        <w:t>provide the first glimpse into an almost mystical and rarely studied phase of parasitic nematode infection</w:t>
      </w:r>
      <w:r>
        <w:rPr>
          <w:rFonts w:cstheme="minorHAnsi"/>
          <w:noProof/>
          <w:color w:val="auto"/>
        </w:rPr>
        <w:t xml:space="preserve">, the early asymptomatic spread of filaria worms. I showed that parasitic nematodes, in general, did not need to develop </w:t>
      </w:r>
      <w:r>
        <w:rPr>
          <w:color w:val="auto"/>
        </w:rPr>
        <w:t xml:space="preserve">complex mechanisms of navigation </w:t>
      </w:r>
      <w:r>
        <w:rPr>
          <w:rFonts w:cstheme="minorHAnsi"/>
          <w:noProof/>
          <w:color w:val="auto"/>
        </w:rPr>
        <w:t>throughout a vertebrate host</w:t>
      </w:r>
      <w:r>
        <w:rPr>
          <w:color w:val="auto"/>
        </w:rPr>
        <w:t xml:space="preserve"> because their specific dissemination can be achieved with inherent skills that evolved for crossing the granular materials, such as mud, sand, or soil.</w:t>
      </w:r>
    </w:p>
    <w:p>
      <w:pPr>
        <w:spacing w:before="60"/>
        <w:rPr>
          <w:rFonts w:cstheme="minorHAnsi"/>
          <w:noProof/>
          <w:color w:val="auto"/>
        </w:rPr>
      </w:pPr>
      <w:r>
        <w:rPr>
          <w:rFonts w:cstheme="minorHAnsi"/>
          <w:noProof/>
          <w:color w:val="auto"/>
        </w:rPr>
        <w:t xml:space="preserve">However, </w:t>
      </w:r>
      <w:r>
        <w:rPr>
          <w:rFonts w:cstheme="minorHAnsi"/>
          <w:color w:val="auto"/>
        </w:rPr>
        <w:t xml:space="preserve">the development of the intravital imaging platform, a cost-effective alternative to multiphoton imaging, turns out to be the most prolific of all my projects. Published in PLOS ONE, this immunofluorescence </w:t>
      </w:r>
      <w:r>
        <w:rPr>
          <w:rFonts w:cstheme="minorHAnsi"/>
          <w:noProof/>
          <w:color w:val="auto"/>
        </w:rPr>
        <w:t xml:space="preserve">method </w:t>
      </w:r>
      <w:r>
        <w:rPr>
          <w:rFonts w:cstheme="minorHAnsi"/>
          <w:color w:val="auto"/>
        </w:rPr>
        <w:t xml:space="preserve">allows for tracking metastasis or leukocytes, quantifying vascular or lymphatic leakage, localizing stores of extracellular chemokines or growth factors, or imaging post-developmental processes of lymphangio- and angiogenesis. Also, in contrast to multiphoton imaging, it provides means to prevent phototoxic bleaching of fluorophores, and by this, allows continued imaging of the same skin locations tissue for days. The most significant advantage of this method is the ability to image all kinds of physiological processes in the context of real tissue boundaries delineated by basement membranes, structures that cannot be visualized in a multiphoton microscope. Due to </w:t>
      </w:r>
      <w:r>
        <w:rPr>
          <w:rFonts w:cstheme="minorHAnsi"/>
          <w:noProof/>
          <w:color w:val="auto"/>
        </w:rPr>
        <w:t>the versatility</w:t>
      </w:r>
      <w:r>
        <w:rPr>
          <w:rFonts w:cstheme="minorHAnsi"/>
          <w:color w:val="auto"/>
        </w:rPr>
        <w:t xml:space="preserve"> of this system, the ensuing collaborations </w:t>
      </w:r>
      <w:r>
        <w:rPr>
          <w:rFonts w:cstheme="minorHAnsi"/>
          <w:noProof/>
          <w:color w:val="auto"/>
        </w:rPr>
        <w:t>spanned</w:t>
      </w:r>
      <w:r>
        <w:rPr>
          <w:rFonts w:cstheme="minorHAnsi"/>
          <w:color w:val="auto"/>
        </w:rPr>
        <w:t xml:space="preserve"> through a variety of biological fields. They resulted in publications in journals, such as Science, Circulation Research, Nature Cell </w:t>
      </w:r>
      <w:r>
        <w:rPr>
          <w:rFonts w:cstheme="minorHAnsi"/>
          <w:noProof/>
          <w:color w:val="auto"/>
        </w:rPr>
        <w:t>Biology, Biomaterials, and Nature Communications.</w:t>
      </w:r>
    </w:p>
    <w:p>
      <w:pPr>
        <w:spacing w:before="60"/>
        <w:rPr>
          <w:rFonts w:cstheme="minorHAnsi"/>
          <w:color w:val="auto"/>
        </w:rPr>
      </w:pPr>
      <w:r>
        <w:rPr>
          <w:rFonts w:cstheme="minorHAnsi"/>
          <w:noProof/>
          <w:color w:val="auto"/>
        </w:rPr>
        <w:t>Yet, my most recent, unpublished discoveries</w:t>
      </w:r>
      <w:r>
        <w:rPr>
          <w:rFonts w:cstheme="minorHAnsi"/>
          <w:color w:val="auto"/>
        </w:rPr>
        <w:t xml:space="preserve"> carry the </w:t>
      </w:r>
      <w:r>
        <w:rPr>
          <w:rFonts w:cstheme="minorHAnsi"/>
          <w:noProof/>
          <w:color w:val="auto"/>
        </w:rPr>
        <w:t>highest</w:t>
      </w:r>
      <w:r>
        <w:rPr>
          <w:rFonts w:cstheme="minorHAnsi"/>
          <w:color w:val="auto"/>
        </w:rPr>
        <w:t xml:space="preserve"> potential </w:t>
      </w:r>
      <w:r>
        <w:rPr>
          <w:rFonts w:cstheme="minorHAnsi"/>
          <w:noProof/>
          <w:color w:val="auto"/>
        </w:rPr>
        <w:t>to profoundly influence numerous biomedical disciplines</w:t>
      </w:r>
      <w:r>
        <w:rPr>
          <w:rFonts w:cstheme="minorHAnsi"/>
          <w:color w:val="auto"/>
        </w:rPr>
        <w:t xml:space="preserve">. </w:t>
      </w:r>
      <w:r>
        <w:rPr>
          <w:rFonts w:cstheme="minorHAnsi"/>
          <w:noProof/>
          <w:color w:val="auto"/>
        </w:rPr>
        <w:t xml:space="preserve">I have found that similar to blood vessels, </w:t>
      </w:r>
      <w:r>
        <w:rPr>
          <w:rFonts w:cstheme="minorHAnsi"/>
          <w:color w:val="auto"/>
        </w:rPr>
        <w:t xml:space="preserve">which are known to form the only </w:t>
      </w:r>
      <w:r>
        <w:rPr>
          <w:rFonts w:cstheme="minorHAnsi"/>
          <w:noProof/>
          <w:color w:val="auto"/>
        </w:rPr>
        <w:t>surface</w:t>
      </w:r>
      <w:r>
        <w:rPr>
          <w:rFonts w:cstheme="minorHAnsi"/>
          <w:color w:val="auto"/>
        </w:rPr>
        <w:t xml:space="preserve"> capable of keeping blood in a fluid state, lymphatics serve the same function for the lymph. Despite the absence of the literature describing the anti-haemostatic properties of lymphatics I quickly realized the consequences of their loss; </w:t>
      </w:r>
      <w:r>
        <w:rPr>
          <w:rFonts w:cstheme="minorHAnsi"/>
          <w:noProof/>
          <w:color w:val="auto"/>
        </w:rPr>
        <w:t>from</w:t>
      </w:r>
      <w:r>
        <w:rPr>
          <w:rFonts w:cstheme="minorHAnsi"/>
          <w:color w:val="auto"/>
        </w:rPr>
        <w:t xml:space="preserve"> the prevention of infection spread to promotion of vascular embolism and arrest of lymphocytes in viral infection such as COVID-19; from the spread of metastasis to induction of idiopathic post-mastectomy lymphedema in women to the prevention of anti-graft immunity in hormone-producing grafts. </w:t>
      </w:r>
    </w:p>
    <w:p>
      <w:pPr>
        <w:spacing w:before="60"/>
        <w:rPr>
          <w:lang w:val="en-US"/>
        </w:rPr>
      </w:pPr>
      <w:r>
        <w:rPr>
          <w:rFonts w:cstheme="minorHAnsi"/>
          <w:color w:val="auto"/>
        </w:rPr>
        <w:t>My current goal is to translate to clinique a method that was considered a Holy Grain in the field of Type-1-Diabetes, that is, sustained transplantation of pancreatic islets under the skin of subcutaneous grafting of pancreatic islets. This technique holds promise for low-cost treatment of diabetic patients with self-isolated pluripotent-stem cells, and in contrast to previous attempts, leads to physiological revascularization of islets and restoration of glucose control in diabetic individuals.</w:t>
      </w:r>
    </w:p>
    <w:p>
      <w:pPr>
        <w:pStyle w:val="Heading2"/>
        <w:rPr>
          <w:color w:val="auto"/>
        </w:rPr>
      </w:pPr>
      <w:r>
        <w:rPr>
          <w:color w:val="auto"/>
        </w:rPr>
        <w:t>Past Research</w:t>
      </w:r>
      <w:bookmarkEnd w:id="38"/>
      <w:r>
        <w:rPr>
          <w:color w:val="auto"/>
        </w:rPr>
        <w:t xml:space="preserve"> </w:t>
      </w:r>
    </w:p>
    <w:p>
      <w:pPr>
        <w:pStyle w:val="Nointent"/>
        <w:rPr>
          <w:color w:val="auto"/>
          <w:lang w:val="en-US"/>
        </w:rPr>
      </w:pPr>
      <w:r>
        <w:rPr>
          <w:color w:val="auto"/>
          <w:lang w:val="en-US"/>
        </w:rPr>
        <w:t>During my postdoctoral work, I was focused on the physiology underlying the remodeling of blood and lymphatic vessels in tumors and during healing and inflammation. I demonstrated a new mode of post-developmental vessel growth and developed new in vivo assays on the chicken chorioallantoic membrane (CAM). I also initiated the research on RNA and proteome profiling of normal and pathological blood endothelium in the embryo. To open the possibility for the visualization of various extracellular matrix components (e.g., basement membranes, fibrin or tenascin) with any fluorescent imaging technique, including IVIS macroscopy, traditional epifluorescence, and confocal or multiphoton microscopy, I developed protocols for intravital staining and imaging. We have applied this imaging technique to phenomena as diverse as the early stages of filaria infection, lymphatic intravasation, measurement of vascular leakage and interactions between metastasis and dendritic cells, CAFs or T cells. More recently, I established a method for subcutaneous grafting of Langerhans islets and continue work on a new anti-hemostatic role of lymphatic collecting vessels. Interference in this activity blocks the drainage of antigens and thus generates a subcutaneous, immune-privileged site that can accept subdermal allografts without systemic immunosuppression. This research has direct translational potential and can be used to protect endocrine allografts, such as pancreatic islets, from immune response.</w:t>
      </w:r>
    </w:p>
    <w:p>
      <w:pPr>
        <w:ind w:left="851" w:hanging="851"/>
        <w:rPr>
          <w:color w:val="auto"/>
          <w:lang w:val="en-US"/>
        </w:rPr>
      </w:pPr>
    </w:p>
    <w:sectPr>
      <w:headerReference w:type="default" r:id="rId83"/>
      <w:footerReference w:type="default" r:id="rId84"/>
      <w:headerReference w:type="first" r:id="rId85"/>
      <w:footerReference w:type="first" r:id="rId86"/>
      <w:pgSz w:w="12240" w:h="15840" w:code="1"/>
      <w:pgMar w:top="851" w:right="851" w:bottom="567" w:left="851" w:header="397"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p/>
    <w:p/>
    <w:p/>
    <w:p/>
    <w:p/>
    <w:p/>
    <w:p/>
  </w:endnote>
  <w:endnote w:type="continuationSeparator" w:id="0">
    <w:p>
      <w:r>
        <w:continuationSeparator/>
      </w:r>
    </w:p>
    <w:p/>
    <w:p/>
    <w:p/>
    <w:p/>
    <w:p/>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heano Didot">
    <w:charset w:val="00"/>
    <w:family w:val="roman"/>
    <w:pitch w:val="variable"/>
    <w:sig w:usb0="C00002EF" w:usb1="500120DB"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ntium Plus">
    <w:altName w:val="Times New Roman"/>
    <w:panose1 w:val="02000503060000020004"/>
    <w:charset w:val="EE"/>
    <w:family w:val="auto"/>
    <w:pitch w:val="variable"/>
    <w:sig w:usb0="E00002FF" w:usb1="5200A1FB" w:usb2="02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sz w:val="20"/>
        <w:szCs w:val="20"/>
      </w:rPr>
    </w:pPr>
    <w:r>
      <w:rPr>
        <w:sz w:val="20"/>
        <w:szCs w:val="20"/>
      </w:rPr>
      <w:t>Witold W. Kilarski, PhD</w:t>
    </w:r>
    <w:r>
      <w:rPr>
        <w:sz w:val="20"/>
        <w:szCs w:val="20"/>
      </w:rPr>
      <w:tab/>
    </w:r>
    <w:r>
      <w:rPr>
        <w:sz w:val="20"/>
        <w:szCs w:val="20"/>
      </w:rPr>
      <w:tab/>
    </w:r>
    <w:r>
      <w:rPr>
        <w:sz w:val="20"/>
        <w:szCs w:val="20"/>
      </w:rPr>
      <w:tab/>
    </w:r>
    <w:sdt>
      <w:sdtPr>
        <w:rPr>
          <w:sz w:val="20"/>
          <w:szCs w:val="20"/>
        </w:rPr>
        <w:id w:val="1726334961"/>
        <w:docPartObj>
          <w:docPartGallery w:val="Page Numbers (Top of Page)"/>
          <w:docPartUnique/>
        </w:docPartObj>
      </w:sdtPr>
      <w:sdtContent>
        <w:r>
          <w:rPr>
            <w:sz w:val="20"/>
            <w:szCs w:val="20"/>
          </w:rPr>
          <w:t xml:space="preserve">Page </w:t>
        </w:r>
        <w:r>
          <w:rPr>
            <w:sz w:val="20"/>
            <w:szCs w:val="20"/>
          </w:rPr>
          <w:fldChar w:fldCharType="begin"/>
        </w:r>
        <w:r>
          <w:rPr>
            <w:sz w:val="20"/>
            <w:szCs w:val="20"/>
          </w:rPr>
          <w:instrText xml:space="preserve"> PAGE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sz w:val="20"/>
            <w:szCs w:val="20"/>
          </w:rPr>
          <w:fldChar w:fldCharType="begin"/>
        </w:r>
        <w:r>
          <w:rPr>
            <w:sz w:val="20"/>
            <w:szCs w:val="20"/>
          </w:rPr>
          <w:instrText xml:space="preserve"> NUMPAGES  </w:instrText>
        </w:r>
        <w:r>
          <w:rPr>
            <w:sz w:val="20"/>
            <w:szCs w:val="20"/>
          </w:rPr>
          <w:fldChar w:fldCharType="separate"/>
        </w:r>
        <w:r>
          <w:rPr>
            <w:noProof/>
            <w:sz w:val="20"/>
            <w:szCs w:val="20"/>
          </w:rPr>
          <w:t>11</w:t>
        </w:r>
        <w:r>
          <w:rPr>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pPr>
    <w:r>
      <w:t>Witold W. Kilarski, PhD</w:t>
    </w:r>
    <w:r>
      <w:tab/>
    </w:r>
    <w:r>
      <w:tab/>
    </w:r>
    <w:r>
      <w:tab/>
    </w:r>
    <w:sdt>
      <w:sdtPr>
        <w:id w:val="-487485352"/>
        <w:docPartObj>
          <w:docPartGallery w:val="Page Numbers (Top of Page)"/>
          <w:docPartUnique/>
        </w:docPartObj>
      </w:sdtPr>
      <w:sdtContent>
        <w:r>
          <w:t xml:space="preserve">Page </w:t>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 NUMPAGES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p/>
    <w:p/>
    <w:p/>
    <w:p/>
    <w:p/>
    <w:p/>
    <w:p/>
  </w:footnote>
  <w:footnote w:type="continuationSeparator" w:id="0">
    <w:p>
      <w:r>
        <w:continuationSeparator/>
      </w:r>
    </w:p>
    <w:p/>
    <w:p/>
    <w:p/>
    <w:p/>
    <w:p/>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tabs>
        <w:tab w:val="clear" w:pos="9406"/>
        <w:tab w:val="right" w:pos="10530"/>
      </w:tabs>
      <w:spacing w:after="120"/>
      <w:rPr>
        <w:sz w:val="18"/>
        <w:szCs w:val="18"/>
      </w:rPr>
    </w:pPr>
    <w:r>
      <w:rPr>
        <w:sz w:val="18"/>
        <w:szCs w:val="18"/>
      </w:rPr>
      <w:fldChar w:fldCharType="begin"/>
    </w:r>
    <w:r>
      <w:rPr>
        <w:sz w:val="18"/>
        <w:szCs w:val="18"/>
        <w:lang w:val="en-US"/>
      </w:rPr>
      <w:instrText xml:space="preserve"> DATE \@ "MMMM d, yyyy" </w:instrText>
    </w:r>
    <w:r>
      <w:rPr>
        <w:sz w:val="18"/>
        <w:szCs w:val="18"/>
      </w:rPr>
      <w:fldChar w:fldCharType="separate"/>
    </w:r>
    <w:r>
      <w:rPr>
        <w:noProof/>
        <w:sz w:val="18"/>
        <w:szCs w:val="18"/>
        <w:lang w:val="en-US"/>
      </w:rPr>
      <w:t>August 31, 2023</w:t>
    </w:r>
    <w:r>
      <w:rPr>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ing1"/>
      <w:jc w:val="center"/>
    </w:pPr>
    <w:bookmarkStart w:id="39" w:name="_Toc369009505"/>
    <w:r>
      <w:t>Witold W. Kilarski, PhD</w:t>
    </w:r>
    <w:bookmarkEnd w:id="3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85004"/>
    <w:multiLevelType w:val="hybridMultilevel"/>
    <w:tmpl w:val="BF2A2C68"/>
    <w:lvl w:ilvl="0" w:tplc="7444EC9C">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709A5"/>
    <w:multiLevelType w:val="hybridMultilevel"/>
    <w:tmpl w:val="64AA61B2"/>
    <w:lvl w:ilvl="0" w:tplc="6EC29744">
      <w:start w:val="1"/>
      <w:numFmt w:val="decimal"/>
      <w:pStyle w:val="NormalTim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B58D1"/>
    <w:multiLevelType w:val="hybridMultilevel"/>
    <w:tmpl w:val="1FF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139AB"/>
    <w:multiLevelType w:val="hybridMultilevel"/>
    <w:tmpl w:val="BB704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50B16"/>
    <w:multiLevelType w:val="hybridMultilevel"/>
    <w:tmpl w:val="15FA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A024E"/>
    <w:multiLevelType w:val="hybridMultilevel"/>
    <w:tmpl w:val="80B64F68"/>
    <w:lvl w:ilvl="0" w:tplc="3258B4B8">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11210"/>
    <w:multiLevelType w:val="hybridMultilevel"/>
    <w:tmpl w:val="91EA5DB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4216144C"/>
    <w:multiLevelType w:val="hybridMultilevel"/>
    <w:tmpl w:val="7C346BF6"/>
    <w:lvl w:ilvl="0" w:tplc="28FCBFF8">
      <w:start w:val="1"/>
      <w:numFmt w:val="decimal"/>
      <w:pStyle w:val="Style1"/>
      <w:lvlText w:val="%1."/>
      <w:lvlJc w:val="left"/>
      <w:pPr>
        <w:tabs>
          <w:tab w:val="num" w:pos="644"/>
        </w:tabs>
        <w:ind w:left="284" w:firstLine="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6C24E6D"/>
    <w:multiLevelType w:val="hybridMultilevel"/>
    <w:tmpl w:val="C0B8D4AA"/>
    <w:lvl w:ilvl="0" w:tplc="92764C82">
      <w:start w:val="1"/>
      <w:numFmt w:val="bullet"/>
      <w:lvlText w:val=""/>
      <w:lvlJc w:val="left"/>
      <w:pPr>
        <w:ind w:left="284" w:hanging="284"/>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9" w15:restartNumberingAfterBreak="0">
    <w:nsid w:val="51F44D4B"/>
    <w:multiLevelType w:val="hybridMultilevel"/>
    <w:tmpl w:val="F548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A344B"/>
    <w:multiLevelType w:val="hybridMultilevel"/>
    <w:tmpl w:val="9926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E6C0D"/>
    <w:multiLevelType w:val="hybridMultilevel"/>
    <w:tmpl w:val="709A5208"/>
    <w:lvl w:ilvl="0" w:tplc="925423F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5E5DC4"/>
    <w:multiLevelType w:val="hybridMultilevel"/>
    <w:tmpl w:val="FB1C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AE0636"/>
    <w:multiLevelType w:val="hybridMultilevel"/>
    <w:tmpl w:val="DD12A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13"/>
  </w:num>
  <w:num w:numId="5">
    <w:abstractNumId w:val="3"/>
  </w:num>
  <w:num w:numId="6">
    <w:abstractNumId w:val="6"/>
  </w:num>
  <w:num w:numId="7">
    <w:abstractNumId w:val="4"/>
  </w:num>
  <w:num w:numId="8">
    <w:abstractNumId w:val="9"/>
  </w:num>
  <w:num w:numId="9">
    <w:abstractNumId w:val="0"/>
  </w:num>
  <w:num w:numId="10">
    <w:abstractNumId w:val="10"/>
  </w:num>
  <w:num w:numId="11">
    <w:abstractNumId w:val="5"/>
  </w:num>
  <w:num w:numId="12">
    <w:abstractNumId w:val="12"/>
  </w:num>
  <w:num w:numId="13">
    <w:abstractNumId w:val="11"/>
  </w:num>
  <w:num w:numId="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activeWritingStyle w:appName="MSWord" w:lang="en-US" w:vendorID="64" w:dllVersion="6" w:nlCheck="1" w:checkStyle="1"/>
  <w:activeWritingStyle w:appName="MSWord" w:lang="en-GB" w:vendorID="64" w:dllVersion="6" w:nlCheck="1" w:checkStyle="1"/>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fr-CH" w:vendorID="64" w:dllVersion="4096" w:nlCheck="1" w:checkStyle="0"/>
  <w:activeWritingStyle w:appName="MSWord" w:lang="pl-PL" w:vendorID="64" w:dllVersion="4096" w:nlCheck="1" w:checkStyle="0"/>
  <w:activeWritingStyle w:appName="MSWord" w:lang="fr-FR" w:vendorID="64" w:dllVersion="6" w:nlCheck="1" w:checkStyle="1"/>
  <w:activeWritingStyle w:appName="MSWord" w:lang="fr-FR" w:vendorID="64" w:dllVersion="4096"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1"/>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G0NDMwNLQwNzQ2NzJR0lEKTi0uzszPAymwMKkFALnWlawtAAAA"/>
    <w:docVar w:name="EN.InstantFormat" w:val="&lt;ENInstantFormat&gt;&lt;Enabled&gt;1&lt;/Enabled&gt;&lt;ScanUnformatted&gt;1&lt;/ScanUnformatted&gt;&lt;ScanChanges&gt;1&lt;/ScanChanges&gt;&lt;Suspended&gt;1&lt;/Suspended&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w5zfprrp5zz99ezawcxpsf8rzv0xx2vzxa2&quot;&gt;pdt&lt;record-ids&gt;&lt;item&gt;59&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CE6F8F-3D58-488E-AF5F-1F0B7510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pPr>
        <w:jc w:val="both"/>
      </w:pPr>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no intent"/>
    <w:pPr>
      <w:spacing w:before="120" w:after="60"/>
    </w:pPr>
    <w:rPr>
      <w:rFonts w:asciiTheme="minorHAnsi" w:hAnsiTheme="minorHAnsi"/>
      <w:color w:val="5A5A5A"/>
      <w:sz w:val="22"/>
      <w:szCs w:val="22"/>
      <w:lang w:val="en-GB"/>
    </w:rPr>
  </w:style>
  <w:style w:type="paragraph" w:styleId="Heading1">
    <w:name w:val="heading 1"/>
    <w:basedOn w:val="Normal"/>
    <w:next w:val="Normal"/>
    <w:link w:val="Heading1Char"/>
    <w:uiPriority w:val="9"/>
    <w:qFormat/>
    <w:pPr>
      <w:spacing w:before="400"/>
      <w:contextualSpacing/>
      <w:outlineLvl w:val="0"/>
    </w:pPr>
    <w:rPr>
      <w:rFonts w:ascii="Cambria" w:hAnsi="Cambria"/>
      <w:smallCaps/>
      <w:color w:val="0F243E"/>
      <w:spacing w:val="20"/>
      <w:sz w:val="32"/>
      <w:szCs w:val="32"/>
    </w:rPr>
  </w:style>
  <w:style w:type="paragraph" w:styleId="Heading2">
    <w:name w:val="heading 2"/>
    <w:basedOn w:val="Normal"/>
    <w:next w:val="Normal"/>
    <w:link w:val="Heading2Char"/>
    <w:uiPriority w:val="9"/>
    <w:unhideWhenUsed/>
    <w:qFormat/>
    <w:pPr>
      <w:spacing w:after="0"/>
      <w:contextualSpacing/>
      <w:jc w:val="center"/>
      <w:outlineLvl w:val="1"/>
    </w:pPr>
    <w:rPr>
      <w:rFonts w:ascii="Cambria" w:hAnsi="Cambria"/>
      <w:smallCaps/>
      <w:noProof/>
      <w:color w:val="000000" w:themeColor="text1"/>
      <w:spacing w:val="16"/>
      <w:sz w:val="28"/>
      <w:szCs w:val="28"/>
      <w:lang w:val="en-US"/>
    </w:rPr>
  </w:style>
  <w:style w:type="paragraph" w:styleId="Heading3">
    <w:name w:val="heading 3"/>
    <w:basedOn w:val="Normal"/>
    <w:next w:val="Normal"/>
    <w:link w:val="Heading3Char"/>
    <w:uiPriority w:val="9"/>
    <w:unhideWhenUsed/>
    <w:qFormat/>
    <w:pPr>
      <w:spacing w:before="180"/>
      <w:contextualSpacing/>
      <w:jc w:val="center"/>
      <w:outlineLvl w:val="2"/>
    </w:pPr>
    <w:rPr>
      <w:rFonts w:ascii="Cambria" w:hAnsi="Cambria"/>
      <w:smallCaps/>
      <w:color w:val="auto"/>
      <w:spacing w:val="20"/>
      <w:sz w:val="24"/>
      <w:szCs w:val="24"/>
    </w:rPr>
  </w:style>
  <w:style w:type="paragraph" w:styleId="Heading4">
    <w:name w:val="heading 4"/>
    <w:basedOn w:val="Normal"/>
    <w:next w:val="Normal"/>
    <w:link w:val="Heading4Char"/>
    <w:uiPriority w:val="9"/>
    <w:semiHidden/>
    <w:unhideWhenUsed/>
    <w:qFormat/>
    <w:pPr>
      <w:pBdr>
        <w:bottom w:val="single" w:sz="4" w:space="1" w:color="71A0DC"/>
      </w:pBdr>
      <w:spacing w:before="200" w:after="100"/>
      <w:contextualSpacing/>
      <w:outlineLvl w:val="3"/>
    </w:pPr>
    <w:rPr>
      <w:rFonts w:ascii="Cambria" w:hAnsi="Cambria"/>
      <w:b/>
      <w:bCs/>
      <w:smallCaps/>
      <w:color w:val="3071C3"/>
      <w:spacing w:val="20"/>
    </w:rPr>
  </w:style>
  <w:style w:type="paragraph" w:styleId="Heading5">
    <w:name w:val="heading 5"/>
    <w:basedOn w:val="Normal"/>
    <w:next w:val="Normal"/>
    <w:link w:val="Heading5Char"/>
    <w:uiPriority w:val="9"/>
    <w:unhideWhenUsed/>
    <w:qFormat/>
    <w:pPr>
      <w:spacing w:before="200" w:after="100"/>
      <w:ind w:firstLine="2835"/>
      <w:contextualSpacing/>
      <w:outlineLvl w:val="4"/>
    </w:pPr>
    <w:rPr>
      <w:rFonts w:ascii="Cambria" w:hAnsi="Cambria"/>
      <w:smallCaps/>
      <w:color w:val="3071C3"/>
      <w:spacing w:val="20"/>
    </w:rPr>
  </w:style>
  <w:style w:type="paragraph" w:styleId="Heading6">
    <w:name w:val="heading 6"/>
    <w:basedOn w:val="Normal"/>
    <w:next w:val="Normal"/>
    <w:link w:val="Heading6Char"/>
    <w:uiPriority w:val="9"/>
    <w:unhideWhenUsed/>
    <w:qFormat/>
    <w:pPr>
      <w:pBdr>
        <w:bottom w:val="dotted" w:sz="8" w:space="1" w:color="938953"/>
      </w:pBdr>
      <w:spacing w:before="200" w:after="100"/>
      <w:contextualSpacing/>
      <w:outlineLvl w:val="5"/>
    </w:pPr>
    <w:rPr>
      <w:rFonts w:ascii="Cambria" w:hAnsi="Cambria"/>
      <w:smallCaps/>
      <w:color w:val="938953"/>
      <w:spacing w:val="20"/>
    </w:rPr>
  </w:style>
  <w:style w:type="paragraph" w:styleId="Heading7">
    <w:name w:val="heading 7"/>
    <w:basedOn w:val="Normal"/>
    <w:next w:val="Normal"/>
    <w:link w:val="Heading7Char"/>
    <w:uiPriority w:val="9"/>
    <w:semiHidden/>
    <w:unhideWhenUsed/>
    <w:qFormat/>
    <w:pPr>
      <w:pBdr>
        <w:bottom w:val="dotted" w:sz="8" w:space="1" w:color="938953"/>
      </w:pBdr>
      <w:spacing w:before="200" w:after="100"/>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semiHidden/>
    <w:unhideWhenUsed/>
    <w:qFormat/>
    <w:pPr>
      <w:spacing w:before="200"/>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semiHidden/>
    <w:unhideWhenUsed/>
    <w:qFormat/>
    <w:pPr>
      <w:spacing w:before="200"/>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Pr>
      <w:rFonts w:asciiTheme="minorHAnsi" w:hAnsiTheme="minorHAnsi"/>
      <w:color w:val="0000FF"/>
      <w:u w:val="single" w:color="FFFFFF" w:themeColor="background1"/>
    </w:rPr>
  </w:style>
  <w:style w:type="paragraph" w:styleId="BodyText2">
    <w:name w:val="Body Text 2"/>
    <w:basedOn w:val="Normal"/>
    <w:rPr>
      <w:i/>
    </w:rPr>
  </w:style>
  <w:style w:type="paragraph" w:styleId="Footer">
    <w:name w:val="footer"/>
    <w:basedOn w:val="Normal"/>
    <w:link w:val="FooterChar"/>
    <w:uiPriority w:val="99"/>
    <w:pPr>
      <w:tabs>
        <w:tab w:val="center" w:pos="4320"/>
        <w:tab w:val="right" w:pos="8640"/>
      </w:tabs>
    </w:pPr>
  </w:style>
  <w:style w:type="paragraph" w:styleId="Title">
    <w:name w:val="Title"/>
    <w:next w:val="Normal"/>
    <w:link w:val="TitleChar"/>
    <w:uiPriority w:val="10"/>
    <w:qFormat/>
    <w:pPr>
      <w:spacing w:after="160"/>
      <w:contextualSpacing/>
    </w:pPr>
    <w:rPr>
      <w:rFonts w:ascii="Cambria" w:hAnsi="Cambria"/>
      <w:smallCaps/>
      <w:color w:val="17365D"/>
      <w:spacing w:val="5"/>
      <w:sz w:val="72"/>
      <w:szCs w:val="72"/>
    </w:rPr>
  </w:style>
  <w:style w:type="character" w:styleId="FollowedHyperlink">
    <w:name w:val="FollowedHyperlink"/>
    <w:rPr>
      <w:color w:val="0000FF"/>
      <w:u w:val="single"/>
    </w:rPr>
  </w:style>
  <w:style w:type="character" w:customStyle="1" w:styleId="Italic">
    <w:name w:val="Italic"/>
    <w:rPr>
      <w:i/>
      <w:iCs/>
    </w:rPr>
  </w:style>
  <w:style w:type="character" w:customStyle="1" w:styleId="Heading6Char">
    <w:name w:val="Heading 6 Char"/>
    <w:link w:val="Heading6"/>
    <w:uiPriority w:val="9"/>
    <w:rPr>
      <w:rFonts w:ascii="Cambria" w:eastAsia="Times New Roman" w:hAnsi="Cambria" w:cs="Times New Roman"/>
      <w:smallCaps/>
      <w:color w:val="938953"/>
      <w:spacing w:val="20"/>
    </w:rPr>
  </w:style>
  <w:style w:type="character" w:customStyle="1" w:styleId="BodyText2Char">
    <w:name w:val="Body Text 2 Char"/>
    <w:rPr>
      <w:rFonts w:ascii="Times" w:eastAsia="Times" w:hAnsi="Times"/>
      <w:i/>
      <w:noProof w:val="0"/>
      <w:sz w:val="24"/>
      <w:lang w:val="en-US" w:eastAsia="en-US" w:bidi="ar-SA"/>
    </w:rPr>
  </w:style>
  <w:style w:type="character" w:customStyle="1" w:styleId="Heading7Char">
    <w:name w:val="Heading 7 Char"/>
    <w:link w:val="Heading7"/>
    <w:uiPriority w:val="9"/>
    <w:semiHidden/>
    <w:rPr>
      <w:rFonts w:ascii="Cambria" w:eastAsia="Times New Roman" w:hAnsi="Cambria" w:cs="Times New Roman"/>
      <w:b/>
      <w:bCs/>
      <w:smallCaps/>
      <w:color w:val="938953"/>
      <w:spacing w:val="20"/>
      <w:sz w:val="16"/>
      <w:szCs w:val="16"/>
    </w:rPr>
  </w:style>
  <w:style w:type="character" w:customStyle="1" w:styleId="Heading3Char">
    <w:name w:val="Heading 3 Char"/>
    <w:link w:val="Heading3"/>
    <w:uiPriority w:val="9"/>
    <w:rPr>
      <w:rFonts w:ascii="Cambria" w:hAnsi="Cambria"/>
      <w:smallCaps/>
      <w:spacing w:val="20"/>
      <w:sz w:val="24"/>
      <w:szCs w:val="24"/>
    </w:rPr>
  </w:style>
  <w:style w:type="character" w:customStyle="1" w:styleId="NormalWebChar">
    <w:name w:val="Normal (Web) Char"/>
    <w:aliases w:val=" webb Char"/>
    <w:rPr>
      <w:noProof w:val="0"/>
      <w:sz w:val="24"/>
      <w:szCs w:val="24"/>
      <w:lang w:val="en-US" w:eastAsia="en-US" w:bidi="ar-SA"/>
    </w:rPr>
  </w:style>
  <w:style w:type="paragraph" w:customStyle="1" w:styleId="Style1">
    <w:name w:val="Style1"/>
    <w:basedOn w:val="Normal"/>
    <w:link w:val="Style1Char"/>
    <w:pPr>
      <w:numPr>
        <w:numId w:val="1"/>
      </w:numPr>
    </w:pPr>
  </w:style>
  <w:style w:type="paragraph" w:customStyle="1" w:styleId="StyleTimesNewRoman11ptItalicLeft125cmFirstline">
    <w:name w:val="Style Times New Roman 11 pt Italic Left:  125 cm First line:  ..."/>
    <w:basedOn w:val="Normal"/>
    <w:pPr>
      <w:ind w:left="709" w:firstLine="11"/>
    </w:pPr>
    <w:rPr>
      <w:rFonts w:ascii="Times New Roman" w:hAnsi="Times New Roman"/>
      <w:i/>
      <w:iCs/>
    </w:rPr>
  </w:style>
  <w:style w:type="paragraph" w:customStyle="1" w:styleId="Style11ptItalicLeft127cm">
    <w:name w:val="Style 11 pt Italic Left:  127 cm"/>
    <w:basedOn w:val="Normal"/>
    <w:pPr>
      <w:ind w:left="720"/>
    </w:pPr>
    <w:rPr>
      <w:i/>
      <w:iCs/>
    </w:rPr>
  </w:style>
  <w:style w:type="character" w:customStyle="1" w:styleId="Heading1Char">
    <w:name w:val="Heading 1 Char"/>
    <w:link w:val="Heading1"/>
    <w:uiPriority w:val="9"/>
    <w:rPr>
      <w:rFonts w:ascii="Cambria" w:eastAsia="Times New Roman" w:hAnsi="Cambria" w:cs="Times New Roman"/>
      <w:smallCaps/>
      <w:color w:val="0F243E"/>
      <w:spacing w:val="20"/>
      <w:sz w:val="32"/>
      <w:szCs w:val="32"/>
    </w:rPr>
  </w:style>
  <w:style w:type="character" w:customStyle="1" w:styleId="Heading3Char1">
    <w:name w:val="Heading 3 Char1"/>
    <w:rPr>
      <w:rFonts w:eastAsia="Times"/>
      <w:b/>
      <w:bCs/>
      <w:lang w:val="en-US" w:eastAsia="en-US" w:bidi="ar-SA"/>
    </w:rPr>
  </w:style>
  <w:style w:type="character" w:customStyle="1" w:styleId="Heading5Char">
    <w:name w:val="Heading 5 Char"/>
    <w:link w:val="Heading5"/>
    <w:uiPriority w:val="9"/>
    <w:rPr>
      <w:rFonts w:ascii="Cambria" w:hAnsi="Cambria"/>
      <w:smallCaps/>
      <w:color w:val="3071C3"/>
      <w:spacing w:val="20"/>
      <w:sz w:val="22"/>
    </w:rPr>
  </w:style>
  <w:style w:type="character" w:styleId="Strong">
    <w:name w:val="Strong"/>
    <w:qFormat/>
    <w:rPr>
      <w:b/>
      <w:bCs/>
      <w:spacing w:val="0"/>
    </w:rPr>
  </w:style>
  <w:style w:type="character" w:customStyle="1" w:styleId="style10">
    <w:name w:val="style1"/>
    <w:basedOn w:val="DefaultParagraphFont"/>
  </w:style>
  <w:style w:type="character" w:customStyle="1" w:styleId="doi">
    <w:name w:val="doi"/>
    <w:basedOn w:val="DefaultParagraphFont"/>
  </w:style>
  <w:style w:type="character" w:customStyle="1" w:styleId="src">
    <w:name w:val="src"/>
    <w:basedOn w:val="DefaultParagraphFont"/>
  </w:style>
  <w:style w:type="character" w:customStyle="1" w:styleId="bold">
    <w:name w:val="bold"/>
  </w:style>
  <w:style w:type="character" w:customStyle="1" w:styleId="jrnl">
    <w:name w:val="jrnl"/>
  </w:style>
  <w:style w:type="character" w:customStyle="1" w:styleId="txt12">
    <w:name w:val="txt12"/>
  </w:style>
  <w:style w:type="character" w:customStyle="1" w:styleId="gi">
    <w:name w:val="gi"/>
  </w:style>
  <w:style w:type="paragraph" w:styleId="Header">
    <w:name w:val="header"/>
    <w:basedOn w:val="Normal"/>
    <w:link w:val="HeaderChar"/>
    <w:uiPriority w:val="99"/>
    <w:pPr>
      <w:tabs>
        <w:tab w:val="center" w:pos="4703"/>
        <w:tab w:val="right" w:pos="9406"/>
      </w:tabs>
    </w:pPr>
  </w:style>
  <w:style w:type="character" w:customStyle="1" w:styleId="HeaderChar">
    <w:name w:val="Header Char"/>
    <w:link w:val="Header"/>
    <w:uiPriority w:val="99"/>
    <w:rPr>
      <w:rFonts w:ascii="Times" w:eastAsia="Times" w:hAnsi="Times"/>
      <w:sz w:val="24"/>
      <w:lang w:val="en-GB"/>
    </w:rPr>
  </w:style>
  <w:style w:type="paragraph" w:styleId="NormalWeb">
    <w:name w:val="Normal (Web)"/>
    <w:basedOn w:val="Normal"/>
    <w:uiPriority w:val="99"/>
    <w:unhideWhenUsed/>
    <w:pPr>
      <w:spacing w:before="100" w:beforeAutospacing="1" w:after="100" w:afterAutospacing="1"/>
    </w:pPr>
    <w:rPr>
      <w:rFonts w:ascii="Times New Roman" w:hAnsi="Times New Roman"/>
      <w:szCs w:val="24"/>
    </w:rPr>
  </w:style>
  <w:style w:type="character" w:customStyle="1" w:styleId="Heading2Char">
    <w:name w:val="Heading 2 Char"/>
    <w:link w:val="Heading2"/>
    <w:uiPriority w:val="9"/>
    <w:rPr>
      <w:rFonts w:ascii="Cambria" w:hAnsi="Cambria"/>
      <w:smallCaps/>
      <w:noProof/>
      <w:color w:val="000000" w:themeColor="text1"/>
      <w:spacing w:val="16"/>
      <w:sz w:val="28"/>
      <w:szCs w:val="28"/>
    </w:rPr>
  </w:style>
  <w:style w:type="character" w:customStyle="1" w:styleId="Heading4Char">
    <w:name w:val="Heading 4 Char"/>
    <w:link w:val="Heading4"/>
    <w:uiPriority w:val="9"/>
    <w:semiHidden/>
    <w:rPr>
      <w:rFonts w:ascii="Cambria" w:eastAsia="Times New Roman" w:hAnsi="Cambria" w:cs="Times New Roman"/>
      <w:b/>
      <w:bCs/>
      <w:smallCaps/>
      <w:color w:val="3071C3"/>
      <w:spacing w:val="20"/>
    </w:rPr>
  </w:style>
  <w:style w:type="character" w:customStyle="1" w:styleId="Heading7Char1">
    <w:name w:val="Heading 7 Char1"/>
    <w:semiHidden/>
    <w:rPr>
      <w:color w:val="5A5A5A"/>
      <w:sz w:val="24"/>
      <w:szCs w:val="24"/>
    </w:rPr>
  </w:style>
  <w:style w:type="character" w:customStyle="1" w:styleId="Heading8Char">
    <w:name w:val="Heading 8 Char"/>
    <w:link w:val="Heading8"/>
    <w:uiPriority w:val="9"/>
    <w:semiHidden/>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semiHidden/>
    <w:unhideWhenUsed/>
    <w:qFormat/>
    <w:rPr>
      <w:b/>
      <w:bCs/>
      <w:smallCaps/>
      <w:color w:val="1F497D"/>
      <w:spacing w:val="10"/>
      <w:sz w:val="18"/>
      <w:szCs w:val="18"/>
    </w:rPr>
  </w:style>
  <w:style w:type="character" w:customStyle="1" w:styleId="TitleChar">
    <w:name w:val="Title Char"/>
    <w:link w:val="Title"/>
    <w:uiPriority w:val="10"/>
    <w:rPr>
      <w:rFonts w:ascii="Cambria" w:eastAsia="Times New Roman" w:hAnsi="Cambria" w:cs="Times New Roman"/>
      <w:smallCaps/>
      <w:color w:val="17365D"/>
      <w:spacing w:val="5"/>
      <w:sz w:val="72"/>
      <w:szCs w:val="72"/>
    </w:rPr>
  </w:style>
  <w:style w:type="paragraph" w:styleId="Subtitle">
    <w:name w:val="Subtitle"/>
    <w:next w:val="Normal"/>
    <w:link w:val="SubtitleChar"/>
    <w:uiPriority w:val="11"/>
    <w:qFormat/>
    <w:pPr>
      <w:spacing w:after="600"/>
    </w:pPr>
    <w:rPr>
      <w:smallCaps/>
      <w:color w:val="938953"/>
      <w:spacing w:val="5"/>
      <w:sz w:val="28"/>
      <w:szCs w:val="28"/>
    </w:rPr>
  </w:style>
  <w:style w:type="character" w:customStyle="1" w:styleId="SubtitleChar">
    <w:name w:val="Subtitle Char"/>
    <w:link w:val="Subtitle"/>
    <w:uiPriority w:val="11"/>
    <w:rPr>
      <w:smallCaps/>
      <w:color w:val="938953"/>
      <w:spacing w:val="5"/>
      <w:sz w:val="28"/>
      <w:szCs w:val="28"/>
    </w:rPr>
  </w:style>
  <w:style w:type="character" w:styleId="Emphasis">
    <w:name w:val="Emphasis"/>
    <w:uiPriority w:val="20"/>
    <w:qFormat/>
    <w:rPr>
      <w:b/>
      <w:bCs/>
      <w:smallCaps/>
      <w:dstrike w:val="0"/>
      <w:color w:val="5A5A5A"/>
      <w:spacing w:val="20"/>
      <w:kern w:val="0"/>
      <w:vertAlign w:val="baseline"/>
    </w:rPr>
  </w:style>
  <w:style w:type="paragraph" w:styleId="NoSpacing">
    <w:name w:val="No Spacing"/>
    <w:basedOn w:val="Normal"/>
    <w:link w:val="NoSpacingChar"/>
    <w:uiPriority w:val="1"/>
    <w:qFormat/>
  </w:style>
  <w:style w:type="paragraph" w:styleId="ListParagraph">
    <w:name w:val="List Paragraph"/>
    <w:basedOn w:val="Normal"/>
    <w:uiPriority w:val="34"/>
    <w:qFormat/>
    <w:pPr>
      <w:ind w:left="142"/>
      <w:contextualSpacing/>
    </w:pPr>
  </w:style>
  <w:style w:type="paragraph" w:styleId="Quote">
    <w:name w:val="Quote"/>
    <w:basedOn w:val="Normal"/>
    <w:next w:val="Normal"/>
    <w:link w:val="QuoteChar"/>
    <w:uiPriority w:val="29"/>
    <w:qFormat/>
    <w:rPr>
      <w:i/>
      <w:iCs/>
    </w:rPr>
  </w:style>
  <w:style w:type="character" w:customStyle="1" w:styleId="QuoteChar">
    <w:name w:val="Quote Char"/>
    <w:link w:val="Quote"/>
    <w:uiPriority w:val="29"/>
    <w:rPr>
      <w:i/>
      <w:iCs/>
      <w:color w:val="5A5A5A"/>
    </w:rPr>
  </w:style>
  <w:style w:type="paragraph" w:styleId="IntenseQuote">
    <w:name w:val="Intense Quote"/>
    <w:basedOn w:val="Normal"/>
    <w:next w:val="Normal"/>
    <w:link w:val="IntenseQuoteChar"/>
    <w:uiPriority w:val="30"/>
    <w:qFormat/>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IntenseQuoteChar">
    <w:name w:val="Intense Quote Char"/>
    <w:link w:val="IntenseQuote"/>
    <w:uiPriority w:val="30"/>
    <w:rPr>
      <w:rFonts w:ascii="Cambria" w:eastAsia="Times New Roman" w:hAnsi="Cambria" w:cs="Times New Roman"/>
      <w:smallCaps/>
      <w:color w:val="365F91"/>
    </w:rPr>
  </w:style>
  <w:style w:type="character" w:styleId="SubtleEmphasis">
    <w:name w:val="Subtle Emphasis"/>
    <w:uiPriority w:val="19"/>
    <w:qFormat/>
    <w:rPr>
      <w:smallCaps/>
      <w:dstrike w:val="0"/>
      <w:color w:val="5A5A5A"/>
      <w:vertAlign w:val="baseline"/>
    </w:rPr>
  </w:style>
  <w:style w:type="character" w:styleId="IntenseEmphasis">
    <w:name w:val="Intense Emphasis"/>
    <w:uiPriority w:val="21"/>
    <w:qFormat/>
    <w:rPr>
      <w:b/>
      <w:bCs/>
      <w:smallCaps/>
      <w:color w:val="4F81BD"/>
      <w:spacing w:val="40"/>
    </w:rPr>
  </w:style>
  <w:style w:type="character" w:styleId="SubtleReference">
    <w:name w:val="Subtle Reference"/>
    <w:uiPriority w:val="31"/>
    <w:qFormat/>
    <w:rPr>
      <w:rFonts w:ascii="Cambria" w:eastAsia="Times New Roman" w:hAnsi="Cambria" w:cs="Times New Roman"/>
      <w:i/>
      <w:iCs/>
      <w:smallCaps/>
      <w:color w:val="5A5A5A"/>
      <w:spacing w:val="20"/>
    </w:rPr>
  </w:style>
  <w:style w:type="character" w:styleId="IntenseReference">
    <w:name w:val="Intense Reference"/>
    <w:uiPriority w:val="32"/>
    <w:qFormat/>
    <w:rPr>
      <w:rFonts w:ascii="Cambria" w:eastAsia="Times New Roman" w:hAnsi="Cambria" w:cs="Times New Roman"/>
      <w:b/>
      <w:bCs/>
      <w:i/>
      <w:iCs/>
      <w:smallCaps/>
      <w:color w:val="17365D"/>
      <w:spacing w:val="20"/>
    </w:rPr>
  </w:style>
  <w:style w:type="character" w:styleId="BookTitle">
    <w:name w:val="Book Title"/>
    <w:uiPriority w:val="33"/>
    <w:qFormat/>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unhideWhenUsed/>
    <w:qFormat/>
    <w:pPr>
      <w:outlineLvl w:val="9"/>
    </w:pPr>
    <w:rPr>
      <w:lang w:bidi="en-US"/>
    </w:rPr>
  </w:style>
  <w:style w:type="character" w:customStyle="1" w:styleId="NoSpacingChar">
    <w:name w:val="No Spacing Char"/>
    <w:link w:val="NoSpacing"/>
    <w:uiPriority w:val="1"/>
    <w:rPr>
      <w:color w:val="5A5A5A"/>
    </w:rPr>
  </w:style>
  <w:style w:type="character" w:customStyle="1" w:styleId="FooterChar">
    <w:name w:val="Footer Char"/>
    <w:link w:val="Footer"/>
    <w:uiPriority w:val="99"/>
  </w:style>
  <w:style w:type="paragraph" w:customStyle="1" w:styleId="NormalTimes">
    <w:name w:val="Normal Times"/>
    <w:basedOn w:val="Style1"/>
    <w:link w:val="NormalTimesChar"/>
    <w:qFormat/>
    <w:pPr>
      <w:numPr>
        <w:numId w:val="2"/>
      </w:numPr>
      <w:ind w:left="284" w:hanging="426"/>
    </w:pPr>
    <w:rPr>
      <w:rFonts w:ascii="Times New Roman" w:hAnsi="Times New Roman"/>
    </w:rPr>
  </w:style>
  <w:style w:type="character" w:customStyle="1" w:styleId="Style1Char">
    <w:name w:val="Style1 Char"/>
    <w:link w:val="Style1"/>
    <w:rPr>
      <w:rFonts w:ascii="Theano Didot" w:hAnsi="Theano Didot"/>
      <w:color w:val="5A5A5A"/>
      <w:sz w:val="22"/>
      <w:szCs w:val="22"/>
    </w:rPr>
  </w:style>
  <w:style w:type="character" w:customStyle="1" w:styleId="NormalTimesChar">
    <w:name w:val="Normal Times Char"/>
    <w:link w:val="NormalTimes"/>
    <w:rPr>
      <w:rFonts w:ascii="Times New Roman" w:hAnsi="Times New Roman"/>
      <w:color w:val="5A5A5A"/>
      <w:sz w:val="22"/>
      <w:szCs w:val="22"/>
    </w:r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tabs>
        <w:tab w:val="right" w:leader="dot" w:pos="10528"/>
      </w:tabs>
      <w:ind w:left="216"/>
    </w:pPr>
  </w:style>
  <w:style w:type="paragraph" w:styleId="TOC3">
    <w:name w:val="toc 3"/>
    <w:basedOn w:val="Normal"/>
    <w:next w:val="Normal"/>
    <w:autoRedefine/>
    <w:uiPriority w:val="39"/>
    <w:pPr>
      <w:spacing w:after="100"/>
      <w:ind w:left="44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160"/>
    </w:pPr>
    <w:rPr>
      <w:rFonts w:eastAsiaTheme="minorHAnsi" w:cstheme="minorBidi"/>
      <w:color w:val="auto"/>
    </w:rPr>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color w:val="5A5A5A"/>
      <w:sz w:val="18"/>
      <w:szCs w:val="18"/>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BodyText">
    <w:name w:val="Body Text"/>
    <w:basedOn w:val="Normal"/>
    <w:link w:val="BodyTextChar"/>
    <w:semiHidden/>
    <w:unhideWhenUsed/>
  </w:style>
  <w:style w:type="character" w:customStyle="1" w:styleId="BodyTextChar">
    <w:name w:val="Body Text Char"/>
    <w:basedOn w:val="DefaultParagraphFont"/>
    <w:link w:val="BodyText"/>
    <w:semiHidden/>
    <w:rPr>
      <w:rFonts w:ascii="Gentium Plus" w:hAnsi="Gentium Plus"/>
      <w:color w:val="5A5A5A"/>
      <w:sz w:val="22"/>
    </w:rPr>
  </w:style>
  <w:style w:type="character" w:customStyle="1" w:styleId="apple-converted-space">
    <w:name w:val="apple-converted-space"/>
    <w:basedOn w:val="DefaultParagraphFont"/>
  </w:style>
  <w:style w:type="character" w:customStyle="1" w:styleId="Mention1">
    <w:name w:val="Mention1"/>
    <w:basedOn w:val="DefaultParagraphFont"/>
    <w:uiPriority w:val="99"/>
    <w:semiHidden/>
    <w:unhideWhenUsed/>
    <w:rPr>
      <w:color w:val="2B579A"/>
      <w:shd w:val="clear" w:color="auto" w:fill="E6E6E6"/>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UnresolvedMention2">
    <w:name w:val="Unresolved Mention2"/>
    <w:basedOn w:val="DefaultParagraphFont"/>
    <w:uiPriority w:val="99"/>
    <w:semiHidden/>
    <w:unhideWhenUsed/>
    <w:rPr>
      <w:color w:val="808080"/>
      <w:shd w:val="clear" w:color="auto" w:fill="E6E6E6"/>
    </w:rPr>
  </w:style>
  <w:style w:type="paragraph" w:customStyle="1" w:styleId="TOC-tight">
    <w:name w:val="TOC-tight"/>
    <w:basedOn w:val="TOC2"/>
    <w:autoRedefine/>
    <w:qFormat/>
    <w:pPr>
      <w:framePr w:wrap="around" w:vAnchor="text" w:hAnchor="text" w:y="1"/>
      <w:spacing w:after="0"/>
    </w:pPr>
    <w:rPr>
      <w:noProof/>
    </w:rPr>
  </w:style>
  <w:style w:type="paragraph" w:styleId="Revision">
    <w:name w:val="Revision"/>
    <w:hidden/>
    <w:uiPriority w:val="99"/>
    <w:semiHidden/>
    <w:pPr>
      <w:jc w:val="left"/>
    </w:pPr>
    <w:rPr>
      <w:rFonts w:asciiTheme="minorHAnsi" w:hAnsiTheme="minorHAnsi"/>
      <w:color w:val="5A5A5A"/>
      <w:szCs w:val="22"/>
    </w:rPr>
  </w:style>
  <w:style w:type="character" w:styleId="PlaceholderText">
    <w:name w:val="Placeholder Text"/>
    <w:basedOn w:val="DefaultParagraphFont"/>
    <w:uiPriority w:val="99"/>
    <w:semiHidden/>
    <w:rPr>
      <w:color w:val="808080"/>
    </w:rPr>
  </w:style>
  <w:style w:type="paragraph" w:styleId="CommentSubject">
    <w:name w:val="annotation subject"/>
    <w:basedOn w:val="CommentText"/>
    <w:next w:val="CommentText"/>
    <w:link w:val="CommentSubjectChar"/>
    <w:semiHidden/>
    <w:unhideWhenUsed/>
    <w:pPr>
      <w:spacing w:after="60"/>
    </w:pPr>
    <w:rPr>
      <w:rFonts w:eastAsia="Times New Roman" w:cs="Times New Roman"/>
      <w:b/>
      <w:bCs/>
      <w:color w:val="5A5A5A"/>
      <w:sz w:val="20"/>
      <w:szCs w:val="20"/>
    </w:rPr>
  </w:style>
  <w:style w:type="character" w:customStyle="1" w:styleId="CommentSubjectChar">
    <w:name w:val="Comment Subject Char"/>
    <w:basedOn w:val="CommentTextChar"/>
    <w:link w:val="CommentSubject"/>
    <w:semiHidden/>
    <w:rPr>
      <w:rFonts w:asciiTheme="minorHAnsi" w:eastAsiaTheme="minorHAnsi" w:hAnsiTheme="minorHAnsi" w:cstheme="minorBidi"/>
      <w:b/>
      <w:bCs/>
      <w:color w:val="5A5A5A"/>
      <w:lang w:val="en-GB"/>
    </w:rPr>
  </w:style>
  <w:style w:type="paragraph" w:customStyle="1" w:styleId="DataField11pt-Single">
    <w:name w:val="Data Field 11pt-Single"/>
    <w:basedOn w:val="Normal"/>
    <w:link w:val="DataField11pt-SingleChar"/>
    <w:pPr>
      <w:autoSpaceDE w:val="0"/>
      <w:autoSpaceDN w:val="0"/>
      <w:spacing w:before="0"/>
    </w:pPr>
    <w:rPr>
      <w:rFonts w:ascii="Georgia" w:hAnsi="Georgia" w:cs="Arial"/>
      <w:color w:val="auto"/>
      <w:szCs w:val="20"/>
      <w:shd w:val="clear" w:color="auto" w:fill="FFFFFF"/>
      <w:lang w:val="en-US"/>
    </w:rPr>
  </w:style>
  <w:style w:type="character" w:customStyle="1" w:styleId="DataField11pt-SingleChar">
    <w:name w:val="Data Field 11pt-Single Char"/>
    <w:basedOn w:val="DefaultParagraphFont"/>
    <w:link w:val="DataField11pt-Single"/>
    <w:rPr>
      <w:rFonts w:ascii="Georgia" w:hAnsi="Georgia" w:cs="Arial"/>
      <w:sz w:val="22"/>
    </w:rPr>
  </w:style>
  <w:style w:type="paragraph" w:customStyle="1" w:styleId="Withintent">
    <w:name w:val="With intent"/>
    <w:basedOn w:val="Normal"/>
    <w:link w:val="WithintentChar"/>
    <w:qFormat/>
    <w:pPr>
      <w:tabs>
        <w:tab w:val="left" w:pos="450"/>
      </w:tabs>
      <w:ind w:left="441" w:hanging="441"/>
    </w:pPr>
    <w:rPr>
      <w:lang w:val="pl-PL"/>
    </w:rPr>
  </w:style>
  <w:style w:type="paragraph" w:customStyle="1" w:styleId="Intent">
    <w:name w:val="Intent"/>
    <w:basedOn w:val="Normal"/>
    <w:link w:val="IntentChar"/>
    <w:qFormat/>
    <w:pPr>
      <w:spacing w:before="0"/>
      <w:ind w:left="288"/>
    </w:pPr>
    <w:rPr>
      <w:color w:val="595959" w:themeColor="text1" w:themeTint="A6"/>
      <w:spacing w:val="-2"/>
      <w:lang w:val="en-US"/>
    </w:rPr>
  </w:style>
  <w:style w:type="character" w:customStyle="1" w:styleId="WithintentChar">
    <w:name w:val="With intent Char"/>
    <w:basedOn w:val="DefaultParagraphFont"/>
    <w:link w:val="Withintent"/>
    <w:rPr>
      <w:rFonts w:asciiTheme="minorHAnsi" w:hAnsiTheme="minorHAnsi"/>
      <w:color w:val="5A5A5A"/>
      <w:sz w:val="22"/>
      <w:szCs w:val="22"/>
      <w:lang w:val="pl-PL"/>
    </w:rPr>
  </w:style>
  <w:style w:type="character" w:customStyle="1" w:styleId="IntentChar">
    <w:name w:val="Intent Char"/>
    <w:basedOn w:val="DefaultParagraphFont"/>
    <w:link w:val="Intent"/>
    <w:rPr>
      <w:rFonts w:asciiTheme="minorHAnsi" w:hAnsiTheme="minorHAnsi"/>
      <w:color w:val="595959" w:themeColor="text1" w:themeTint="A6"/>
      <w:spacing w:val="-2"/>
      <w:sz w:val="22"/>
      <w:szCs w:val="22"/>
    </w:rPr>
  </w:style>
  <w:style w:type="paragraph" w:customStyle="1" w:styleId="Nointent">
    <w:name w:val="No intent"/>
    <w:basedOn w:val="Withintent"/>
    <w:link w:val="NointentChar"/>
    <w:qFormat/>
    <w:pPr>
      <w:tabs>
        <w:tab w:val="clear" w:pos="450"/>
      </w:tabs>
      <w:ind w:left="0" w:firstLine="0"/>
    </w:pPr>
  </w:style>
  <w:style w:type="character" w:customStyle="1" w:styleId="NointentChar">
    <w:name w:val="No intent Char"/>
    <w:basedOn w:val="WithintentChar"/>
    <w:link w:val="Nointent"/>
    <w:rPr>
      <w:rFonts w:asciiTheme="minorHAnsi" w:hAnsiTheme="minorHAnsi"/>
      <w:color w:val="5A5A5A"/>
      <w:sz w:val="22"/>
      <w:szCs w:val="22"/>
      <w:lang w:val="pl-PL"/>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8644">
      <w:bodyDiv w:val="1"/>
      <w:marLeft w:val="0"/>
      <w:marRight w:val="0"/>
      <w:marTop w:val="0"/>
      <w:marBottom w:val="0"/>
      <w:divBdr>
        <w:top w:val="none" w:sz="0" w:space="0" w:color="auto"/>
        <w:left w:val="none" w:sz="0" w:space="0" w:color="auto"/>
        <w:bottom w:val="none" w:sz="0" w:space="0" w:color="auto"/>
        <w:right w:val="none" w:sz="0" w:space="0" w:color="auto"/>
      </w:divBdr>
    </w:div>
    <w:div w:id="114259431">
      <w:bodyDiv w:val="1"/>
      <w:marLeft w:val="0"/>
      <w:marRight w:val="0"/>
      <w:marTop w:val="0"/>
      <w:marBottom w:val="0"/>
      <w:divBdr>
        <w:top w:val="none" w:sz="0" w:space="0" w:color="auto"/>
        <w:left w:val="none" w:sz="0" w:space="0" w:color="auto"/>
        <w:bottom w:val="none" w:sz="0" w:space="0" w:color="auto"/>
        <w:right w:val="none" w:sz="0" w:space="0" w:color="auto"/>
      </w:divBdr>
    </w:div>
    <w:div w:id="128090071">
      <w:bodyDiv w:val="1"/>
      <w:marLeft w:val="0"/>
      <w:marRight w:val="0"/>
      <w:marTop w:val="0"/>
      <w:marBottom w:val="0"/>
      <w:divBdr>
        <w:top w:val="none" w:sz="0" w:space="0" w:color="auto"/>
        <w:left w:val="none" w:sz="0" w:space="0" w:color="auto"/>
        <w:bottom w:val="none" w:sz="0" w:space="0" w:color="auto"/>
        <w:right w:val="none" w:sz="0" w:space="0" w:color="auto"/>
      </w:divBdr>
    </w:div>
    <w:div w:id="249432779">
      <w:bodyDiv w:val="1"/>
      <w:marLeft w:val="0"/>
      <w:marRight w:val="0"/>
      <w:marTop w:val="0"/>
      <w:marBottom w:val="0"/>
      <w:divBdr>
        <w:top w:val="none" w:sz="0" w:space="0" w:color="auto"/>
        <w:left w:val="none" w:sz="0" w:space="0" w:color="auto"/>
        <w:bottom w:val="none" w:sz="0" w:space="0" w:color="auto"/>
        <w:right w:val="none" w:sz="0" w:space="0" w:color="auto"/>
      </w:divBdr>
    </w:div>
    <w:div w:id="255595870">
      <w:bodyDiv w:val="1"/>
      <w:marLeft w:val="0"/>
      <w:marRight w:val="0"/>
      <w:marTop w:val="0"/>
      <w:marBottom w:val="0"/>
      <w:divBdr>
        <w:top w:val="none" w:sz="0" w:space="0" w:color="auto"/>
        <w:left w:val="none" w:sz="0" w:space="0" w:color="auto"/>
        <w:bottom w:val="none" w:sz="0" w:space="0" w:color="auto"/>
        <w:right w:val="none" w:sz="0" w:space="0" w:color="auto"/>
      </w:divBdr>
    </w:div>
    <w:div w:id="346636885">
      <w:bodyDiv w:val="1"/>
      <w:marLeft w:val="0"/>
      <w:marRight w:val="0"/>
      <w:marTop w:val="0"/>
      <w:marBottom w:val="0"/>
      <w:divBdr>
        <w:top w:val="none" w:sz="0" w:space="0" w:color="auto"/>
        <w:left w:val="none" w:sz="0" w:space="0" w:color="auto"/>
        <w:bottom w:val="none" w:sz="0" w:space="0" w:color="auto"/>
        <w:right w:val="none" w:sz="0" w:space="0" w:color="auto"/>
      </w:divBdr>
    </w:div>
    <w:div w:id="375589286">
      <w:bodyDiv w:val="1"/>
      <w:marLeft w:val="0"/>
      <w:marRight w:val="0"/>
      <w:marTop w:val="0"/>
      <w:marBottom w:val="0"/>
      <w:divBdr>
        <w:top w:val="none" w:sz="0" w:space="0" w:color="auto"/>
        <w:left w:val="none" w:sz="0" w:space="0" w:color="auto"/>
        <w:bottom w:val="none" w:sz="0" w:space="0" w:color="auto"/>
        <w:right w:val="none" w:sz="0" w:space="0" w:color="auto"/>
      </w:divBdr>
    </w:div>
    <w:div w:id="505705309">
      <w:bodyDiv w:val="1"/>
      <w:marLeft w:val="0"/>
      <w:marRight w:val="0"/>
      <w:marTop w:val="0"/>
      <w:marBottom w:val="0"/>
      <w:divBdr>
        <w:top w:val="none" w:sz="0" w:space="0" w:color="auto"/>
        <w:left w:val="none" w:sz="0" w:space="0" w:color="auto"/>
        <w:bottom w:val="none" w:sz="0" w:space="0" w:color="auto"/>
        <w:right w:val="none" w:sz="0" w:space="0" w:color="auto"/>
      </w:divBdr>
    </w:div>
    <w:div w:id="538472141">
      <w:bodyDiv w:val="1"/>
      <w:marLeft w:val="0"/>
      <w:marRight w:val="0"/>
      <w:marTop w:val="0"/>
      <w:marBottom w:val="0"/>
      <w:divBdr>
        <w:top w:val="none" w:sz="0" w:space="0" w:color="auto"/>
        <w:left w:val="none" w:sz="0" w:space="0" w:color="auto"/>
        <w:bottom w:val="none" w:sz="0" w:space="0" w:color="auto"/>
        <w:right w:val="none" w:sz="0" w:space="0" w:color="auto"/>
      </w:divBdr>
    </w:div>
    <w:div w:id="626936107">
      <w:bodyDiv w:val="1"/>
      <w:marLeft w:val="0"/>
      <w:marRight w:val="0"/>
      <w:marTop w:val="0"/>
      <w:marBottom w:val="0"/>
      <w:divBdr>
        <w:top w:val="none" w:sz="0" w:space="0" w:color="auto"/>
        <w:left w:val="none" w:sz="0" w:space="0" w:color="auto"/>
        <w:bottom w:val="none" w:sz="0" w:space="0" w:color="auto"/>
        <w:right w:val="none" w:sz="0" w:space="0" w:color="auto"/>
      </w:divBdr>
    </w:div>
    <w:div w:id="671489081">
      <w:bodyDiv w:val="1"/>
      <w:marLeft w:val="0"/>
      <w:marRight w:val="0"/>
      <w:marTop w:val="0"/>
      <w:marBottom w:val="0"/>
      <w:divBdr>
        <w:top w:val="none" w:sz="0" w:space="0" w:color="auto"/>
        <w:left w:val="none" w:sz="0" w:space="0" w:color="auto"/>
        <w:bottom w:val="none" w:sz="0" w:space="0" w:color="auto"/>
        <w:right w:val="none" w:sz="0" w:space="0" w:color="auto"/>
      </w:divBdr>
    </w:div>
    <w:div w:id="682710118">
      <w:bodyDiv w:val="1"/>
      <w:marLeft w:val="0"/>
      <w:marRight w:val="0"/>
      <w:marTop w:val="0"/>
      <w:marBottom w:val="0"/>
      <w:divBdr>
        <w:top w:val="none" w:sz="0" w:space="0" w:color="auto"/>
        <w:left w:val="none" w:sz="0" w:space="0" w:color="auto"/>
        <w:bottom w:val="none" w:sz="0" w:space="0" w:color="auto"/>
        <w:right w:val="none" w:sz="0" w:space="0" w:color="auto"/>
      </w:divBdr>
    </w:div>
    <w:div w:id="779106671">
      <w:bodyDiv w:val="1"/>
      <w:marLeft w:val="0"/>
      <w:marRight w:val="0"/>
      <w:marTop w:val="0"/>
      <w:marBottom w:val="0"/>
      <w:divBdr>
        <w:top w:val="none" w:sz="0" w:space="0" w:color="auto"/>
        <w:left w:val="none" w:sz="0" w:space="0" w:color="auto"/>
        <w:bottom w:val="none" w:sz="0" w:space="0" w:color="auto"/>
        <w:right w:val="none" w:sz="0" w:space="0" w:color="auto"/>
      </w:divBdr>
    </w:div>
    <w:div w:id="913781328">
      <w:bodyDiv w:val="1"/>
      <w:marLeft w:val="0"/>
      <w:marRight w:val="0"/>
      <w:marTop w:val="0"/>
      <w:marBottom w:val="0"/>
      <w:divBdr>
        <w:top w:val="none" w:sz="0" w:space="0" w:color="auto"/>
        <w:left w:val="none" w:sz="0" w:space="0" w:color="auto"/>
        <w:bottom w:val="none" w:sz="0" w:space="0" w:color="auto"/>
        <w:right w:val="none" w:sz="0" w:space="0" w:color="auto"/>
      </w:divBdr>
    </w:div>
    <w:div w:id="921449784">
      <w:bodyDiv w:val="1"/>
      <w:marLeft w:val="0"/>
      <w:marRight w:val="0"/>
      <w:marTop w:val="0"/>
      <w:marBottom w:val="0"/>
      <w:divBdr>
        <w:top w:val="none" w:sz="0" w:space="0" w:color="auto"/>
        <w:left w:val="none" w:sz="0" w:space="0" w:color="auto"/>
        <w:bottom w:val="none" w:sz="0" w:space="0" w:color="auto"/>
        <w:right w:val="none" w:sz="0" w:space="0" w:color="auto"/>
      </w:divBdr>
    </w:div>
    <w:div w:id="959995687">
      <w:bodyDiv w:val="1"/>
      <w:marLeft w:val="0"/>
      <w:marRight w:val="0"/>
      <w:marTop w:val="0"/>
      <w:marBottom w:val="0"/>
      <w:divBdr>
        <w:top w:val="none" w:sz="0" w:space="0" w:color="auto"/>
        <w:left w:val="none" w:sz="0" w:space="0" w:color="auto"/>
        <w:bottom w:val="none" w:sz="0" w:space="0" w:color="auto"/>
        <w:right w:val="none" w:sz="0" w:space="0" w:color="auto"/>
      </w:divBdr>
    </w:div>
    <w:div w:id="975795019">
      <w:bodyDiv w:val="1"/>
      <w:marLeft w:val="0"/>
      <w:marRight w:val="0"/>
      <w:marTop w:val="0"/>
      <w:marBottom w:val="0"/>
      <w:divBdr>
        <w:top w:val="none" w:sz="0" w:space="0" w:color="auto"/>
        <w:left w:val="none" w:sz="0" w:space="0" w:color="auto"/>
        <w:bottom w:val="none" w:sz="0" w:space="0" w:color="auto"/>
        <w:right w:val="none" w:sz="0" w:space="0" w:color="auto"/>
      </w:divBdr>
    </w:div>
    <w:div w:id="1049457211">
      <w:bodyDiv w:val="1"/>
      <w:marLeft w:val="0"/>
      <w:marRight w:val="0"/>
      <w:marTop w:val="0"/>
      <w:marBottom w:val="0"/>
      <w:divBdr>
        <w:top w:val="none" w:sz="0" w:space="0" w:color="auto"/>
        <w:left w:val="none" w:sz="0" w:space="0" w:color="auto"/>
        <w:bottom w:val="none" w:sz="0" w:space="0" w:color="auto"/>
        <w:right w:val="none" w:sz="0" w:space="0" w:color="auto"/>
      </w:divBdr>
    </w:div>
    <w:div w:id="1168525100">
      <w:bodyDiv w:val="1"/>
      <w:marLeft w:val="0"/>
      <w:marRight w:val="0"/>
      <w:marTop w:val="0"/>
      <w:marBottom w:val="0"/>
      <w:divBdr>
        <w:top w:val="none" w:sz="0" w:space="0" w:color="auto"/>
        <w:left w:val="none" w:sz="0" w:space="0" w:color="auto"/>
        <w:bottom w:val="none" w:sz="0" w:space="0" w:color="auto"/>
        <w:right w:val="none" w:sz="0" w:space="0" w:color="auto"/>
      </w:divBdr>
    </w:div>
    <w:div w:id="1217280945">
      <w:bodyDiv w:val="1"/>
      <w:marLeft w:val="0"/>
      <w:marRight w:val="0"/>
      <w:marTop w:val="0"/>
      <w:marBottom w:val="0"/>
      <w:divBdr>
        <w:top w:val="none" w:sz="0" w:space="0" w:color="auto"/>
        <w:left w:val="none" w:sz="0" w:space="0" w:color="auto"/>
        <w:bottom w:val="none" w:sz="0" w:space="0" w:color="auto"/>
        <w:right w:val="none" w:sz="0" w:space="0" w:color="auto"/>
      </w:divBdr>
    </w:div>
    <w:div w:id="1269236806">
      <w:bodyDiv w:val="1"/>
      <w:marLeft w:val="0"/>
      <w:marRight w:val="0"/>
      <w:marTop w:val="0"/>
      <w:marBottom w:val="0"/>
      <w:divBdr>
        <w:top w:val="none" w:sz="0" w:space="0" w:color="auto"/>
        <w:left w:val="none" w:sz="0" w:space="0" w:color="auto"/>
        <w:bottom w:val="none" w:sz="0" w:space="0" w:color="auto"/>
        <w:right w:val="none" w:sz="0" w:space="0" w:color="auto"/>
      </w:divBdr>
    </w:div>
    <w:div w:id="1325627739">
      <w:bodyDiv w:val="1"/>
      <w:marLeft w:val="0"/>
      <w:marRight w:val="0"/>
      <w:marTop w:val="0"/>
      <w:marBottom w:val="0"/>
      <w:divBdr>
        <w:top w:val="none" w:sz="0" w:space="0" w:color="auto"/>
        <w:left w:val="none" w:sz="0" w:space="0" w:color="auto"/>
        <w:bottom w:val="none" w:sz="0" w:space="0" w:color="auto"/>
        <w:right w:val="none" w:sz="0" w:space="0" w:color="auto"/>
      </w:divBdr>
    </w:div>
    <w:div w:id="1332030340">
      <w:bodyDiv w:val="1"/>
      <w:marLeft w:val="0"/>
      <w:marRight w:val="0"/>
      <w:marTop w:val="0"/>
      <w:marBottom w:val="0"/>
      <w:divBdr>
        <w:top w:val="none" w:sz="0" w:space="0" w:color="auto"/>
        <w:left w:val="none" w:sz="0" w:space="0" w:color="auto"/>
        <w:bottom w:val="none" w:sz="0" w:space="0" w:color="auto"/>
        <w:right w:val="none" w:sz="0" w:space="0" w:color="auto"/>
      </w:divBdr>
    </w:div>
    <w:div w:id="1479690887">
      <w:bodyDiv w:val="1"/>
      <w:marLeft w:val="0"/>
      <w:marRight w:val="0"/>
      <w:marTop w:val="0"/>
      <w:marBottom w:val="0"/>
      <w:divBdr>
        <w:top w:val="none" w:sz="0" w:space="0" w:color="auto"/>
        <w:left w:val="none" w:sz="0" w:space="0" w:color="auto"/>
        <w:bottom w:val="none" w:sz="0" w:space="0" w:color="auto"/>
        <w:right w:val="none" w:sz="0" w:space="0" w:color="auto"/>
      </w:divBdr>
    </w:div>
    <w:div w:id="1629553969">
      <w:bodyDiv w:val="1"/>
      <w:marLeft w:val="0"/>
      <w:marRight w:val="0"/>
      <w:marTop w:val="0"/>
      <w:marBottom w:val="0"/>
      <w:divBdr>
        <w:top w:val="none" w:sz="0" w:space="0" w:color="auto"/>
        <w:left w:val="none" w:sz="0" w:space="0" w:color="auto"/>
        <w:bottom w:val="none" w:sz="0" w:space="0" w:color="auto"/>
        <w:right w:val="none" w:sz="0" w:space="0" w:color="auto"/>
      </w:divBdr>
    </w:div>
    <w:div w:id="1755008622">
      <w:bodyDiv w:val="1"/>
      <w:marLeft w:val="0"/>
      <w:marRight w:val="0"/>
      <w:marTop w:val="0"/>
      <w:marBottom w:val="0"/>
      <w:divBdr>
        <w:top w:val="none" w:sz="0" w:space="0" w:color="auto"/>
        <w:left w:val="none" w:sz="0" w:space="0" w:color="auto"/>
        <w:bottom w:val="none" w:sz="0" w:space="0" w:color="auto"/>
        <w:right w:val="none" w:sz="0" w:space="0" w:color="auto"/>
      </w:divBdr>
    </w:div>
    <w:div w:id="1765179379">
      <w:bodyDiv w:val="1"/>
      <w:marLeft w:val="0"/>
      <w:marRight w:val="0"/>
      <w:marTop w:val="0"/>
      <w:marBottom w:val="0"/>
      <w:divBdr>
        <w:top w:val="none" w:sz="0" w:space="0" w:color="auto"/>
        <w:left w:val="none" w:sz="0" w:space="0" w:color="auto"/>
        <w:bottom w:val="none" w:sz="0" w:space="0" w:color="auto"/>
        <w:right w:val="none" w:sz="0" w:space="0" w:color="auto"/>
      </w:divBdr>
    </w:div>
    <w:div w:id="2025403973">
      <w:bodyDiv w:val="1"/>
      <w:marLeft w:val="0"/>
      <w:marRight w:val="0"/>
      <w:marTop w:val="0"/>
      <w:marBottom w:val="0"/>
      <w:divBdr>
        <w:top w:val="none" w:sz="0" w:space="0" w:color="auto"/>
        <w:left w:val="none" w:sz="0" w:space="0" w:color="auto"/>
        <w:bottom w:val="none" w:sz="0" w:space="0" w:color="auto"/>
        <w:right w:val="none" w:sz="0" w:space="0" w:color="auto"/>
      </w:divBdr>
    </w:div>
    <w:div w:id="211165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978-1-4939-8712-2_17" TargetMode="External"/><Relationship Id="rId21" Type="http://schemas.openxmlformats.org/officeDocument/2006/relationships/hyperlink" Target="https://www.biorxiv.org/content/10.1101/2021.06.22.449446v6" TargetMode="External"/><Relationship Id="rId42" Type="http://schemas.openxmlformats.org/officeDocument/2006/relationships/hyperlink" Target="http://dx.plos.org/10.1371/journal.pone.0057135" TargetMode="External"/><Relationship Id="rId47" Type="http://schemas.openxmlformats.org/officeDocument/2006/relationships/hyperlink" Target="http://dx.doi.org/10.1021/pr100033t" TargetMode="External"/><Relationship Id="rId63" Type="http://schemas.openxmlformats.org/officeDocument/2006/relationships/hyperlink" Target="http://circres.ahajournals.org/content/120/9.cover-expansion" TargetMode="External"/><Relationship Id="rId68" Type="http://schemas.openxmlformats.org/officeDocument/2006/relationships/hyperlink" Target="http://cancerimmunolres.aacrjournals.org/content/2/8.cover-expansion" TargetMode="External"/><Relationship Id="rId84" Type="http://schemas.openxmlformats.org/officeDocument/2006/relationships/footer" Target="footer1.xml"/><Relationship Id="rId16" Type="http://schemas.openxmlformats.org/officeDocument/2006/relationships/hyperlink" Target="http://doi.org/10.1016/j.biomaterials.2017.03.033" TargetMode="External"/><Relationship Id="rId11" Type="http://schemas.openxmlformats.org/officeDocument/2006/relationships/hyperlink" Target="https://orcid.org/0000-0003-0734-4749" TargetMode="External"/><Relationship Id="rId32" Type="http://schemas.openxmlformats.org/officeDocument/2006/relationships/hyperlink" Target="http://dx.doi.org/10.1016/j.pdpdt.2016.02.004" TargetMode="External"/><Relationship Id="rId37" Type="http://schemas.openxmlformats.org/officeDocument/2006/relationships/hyperlink" Target="http://dx.doi.org/10.3791/51388" TargetMode="External"/><Relationship Id="rId53" Type="http://schemas.openxmlformats.org/officeDocument/2006/relationships/hyperlink" Target="http://dx.doi.org/10.1042/0264-6021:3550307" TargetMode="External"/><Relationship Id="rId58" Type="http://schemas.openxmlformats.org/officeDocument/2006/relationships/hyperlink" Target="https://pubmed.ncbi.nlm.nih.gov/19772838/" TargetMode="External"/><Relationship Id="rId74" Type="http://schemas.openxmlformats.org/officeDocument/2006/relationships/hyperlink" Target="http://www.nikonsmallworld.com/galleries/entry/2011-photomicrography-competition/17" TargetMode="External"/><Relationship Id="rId79" Type="http://schemas.openxmlformats.org/officeDocument/2006/relationships/hyperlink" Target="https://drive.google.com/file/d/0B5qIMA1Y4F8tQ215b2FmZTg5TUU/view?usp=sharing" TargetMode="External"/><Relationship Id="rId5" Type="http://schemas.openxmlformats.org/officeDocument/2006/relationships/webSettings" Target="webSettings.xml"/><Relationship Id="rId19" Type="http://schemas.openxmlformats.org/officeDocument/2006/relationships/hyperlink" Target="http://dx.doi.org/10.1038/nm.1985" TargetMode="External"/><Relationship Id="rId14" Type="http://schemas.openxmlformats.org/officeDocument/2006/relationships/hyperlink" Target="http://uu.diva-portal.org/smash/record.jsf?pid=diva2%3A165878&amp;dswid=6209" TargetMode="External"/><Relationship Id="rId22" Type="http://schemas.openxmlformats.org/officeDocument/2006/relationships/hyperlink" Target="https://doi.org/10.1038/s41467-019-14127-9" TargetMode="External"/><Relationship Id="rId27" Type="http://schemas.openxmlformats.org/officeDocument/2006/relationships/hyperlink" Target="https://doi.org/10.1007/978-1-4939-7553-2_3" TargetMode="External"/><Relationship Id="rId30" Type="http://schemas.openxmlformats.org/officeDocument/2006/relationships/hyperlink" Target="https://doi.org/10.1161/CIRCRESAHA.116.309828" TargetMode="External"/><Relationship Id="rId35" Type="http://schemas.openxmlformats.org/officeDocument/2006/relationships/hyperlink" Target="http://dx.doi.org/10.1016/j.pep.2015.03.001" TargetMode="External"/><Relationship Id="rId43" Type="http://schemas.openxmlformats.org/officeDocument/2006/relationships/hyperlink" Target="http://dx.doi.org/10.1007/s10456-012-9311-z" TargetMode="External"/><Relationship Id="rId48" Type="http://schemas.openxmlformats.org/officeDocument/2006/relationships/hyperlink" Target="http://dx.doi.org/10.1161/CIRCRESAHA.109.207274" TargetMode="External"/><Relationship Id="rId56" Type="http://schemas.openxmlformats.org/officeDocument/2006/relationships/hyperlink" Target="http://dx.doi.org/10.1080/2162402X.2016.1182278" TargetMode="External"/><Relationship Id="rId64" Type="http://schemas.openxmlformats.org/officeDocument/2006/relationships/hyperlink" Target="http://circres.ahajournals.org/content/early/2017/01/25/CIRCRESAHA.116.309828.long" TargetMode="External"/><Relationship Id="rId69" Type="http://schemas.openxmlformats.org/officeDocument/2006/relationships/hyperlink" Target="http://link.springer.com/journal/10456/17/2/page/1" TargetMode="External"/><Relationship Id="rId77" Type="http://schemas.openxmlformats.org/officeDocument/2006/relationships/hyperlink" Target="https://drive.google.com/open?id=18jtHek52Zu4W8iUMpNSY3BW2KEbDtJHR" TargetMode="External"/><Relationship Id="rId8" Type="http://schemas.openxmlformats.org/officeDocument/2006/relationships/hyperlink" Target="http://www.researcherid.com/rid/G-8673-2012" TargetMode="External"/><Relationship Id="rId51" Type="http://schemas.openxmlformats.org/officeDocument/2006/relationships/hyperlink" Target="http://dx.doi.org/10.1159/000092862" TargetMode="External"/><Relationship Id="rId72" Type="http://schemas.openxmlformats.org/officeDocument/2006/relationships/hyperlink" Target="http://dx.plos.org/10.1371/journal.pone.0057135" TargetMode="External"/><Relationship Id="rId80" Type="http://schemas.openxmlformats.org/officeDocument/2006/relationships/hyperlink" Target="https://doi.org/10.1016/S0014-4827(03)00374-4"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ncbi.nlm.nih.gov/sites/myncbi/10gtchVrsJSQE/bibliography/57262930/public/?sort=date&amp;direction=descending" TargetMode="External"/><Relationship Id="rId17" Type="http://schemas.openxmlformats.org/officeDocument/2006/relationships/hyperlink" Target="http://dx.doi.org/10.1007/s10456-013-9365-6" TargetMode="External"/><Relationship Id="rId25" Type="http://schemas.openxmlformats.org/officeDocument/2006/relationships/hyperlink" Target="https://journals.plos.org/plosone/article?id=10.1371/journal.pone.0206693" TargetMode="External"/><Relationship Id="rId33" Type="http://schemas.openxmlformats.org/officeDocument/2006/relationships/hyperlink" Target="http://www.nature.com/ncb/journal/v17/n9/full/ncb3228.html" TargetMode="External"/><Relationship Id="rId38" Type="http://schemas.openxmlformats.org/officeDocument/2006/relationships/hyperlink" Target="http://science.sciencemag.org/content/343/6173/885" TargetMode="External"/><Relationship Id="rId46" Type="http://schemas.openxmlformats.org/officeDocument/2006/relationships/hyperlink" Target="http://dx.doi.org/10.1186/1471-2164-11-495" TargetMode="External"/><Relationship Id="rId59" Type="http://schemas.openxmlformats.org/officeDocument/2006/relationships/hyperlink" Target="http://www.john-libbey-eurotext.fr/en/revues/medecine/bdc/e-docs/00/04/34/2F/article.phtml" TargetMode="External"/><Relationship Id="rId67" Type="http://schemas.openxmlformats.org/officeDocument/2006/relationships/hyperlink" Target="https://merlin.pl/immunologia-podstawowe-zagadnienia-i-aktualnosci-witold-lasek/3749368/" TargetMode="External"/><Relationship Id="rId20" Type="http://schemas.openxmlformats.org/officeDocument/2006/relationships/hyperlink" Target="https://pubmed.ncbi.nlm.nih.gov/35977099/" TargetMode="External"/><Relationship Id="rId41" Type="http://schemas.openxmlformats.org/officeDocument/2006/relationships/hyperlink" Target="http://dx.doi.org/10.1074/mcp.M112.024075" TargetMode="External"/><Relationship Id="rId54" Type="http://schemas.openxmlformats.org/officeDocument/2006/relationships/hyperlink" Target="http://dx.doi.org/10.1016/S0009-8981(99)00135-7" TargetMode="External"/><Relationship Id="rId62" Type="http://schemas.openxmlformats.org/officeDocument/2006/relationships/hyperlink" Target="https://docs.google.com/viewer?a=v&amp;pid=explorer&amp;chrome=true&amp;srcid=0B5qIMA1Y4F8tOTExMjAzYTAtMzM2MS00NjcyLTk3YjQtZDk1MDg4MWFmNTAy&amp;hl=en" TargetMode="External"/><Relationship Id="rId70" Type="http://schemas.openxmlformats.org/officeDocument/2006/relationships/hyperlink" Target="http://www.nature.com/nature/journal/v494/n7435/images/494131a-i1.0.jpg" TargetMode="External"/><Relationship Id="rId75" Type="http://schemas.openxmlformats.org/officeDocument/2006/relationships/hyperlink" Target="https://drive.google.com/open?id=1pv6BMzEVf5ocLmchHX_mMu63O_1bvwEV" TargetMode="External"/><Relationship Id="rId83" Type="http://schemas.openxmlformats.org/officeDocument/2006/relationships/header" Target="head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ture.com/articles/s41467-019-10675-2" TargetMode="External"/><Relationship Id="rId23" Type="http://schemas.openxmlformats.org/officeDocument/2006/relationships/hyperlink" Target="https://www.nature.com/articles/s41598-020-57995-8" TargetMode="External"/><Relationship Id="rId28" Type="http://schemas.openxmlformats.org/officeDocument/2006/relationships/hyperlink" Target="http://sci-hub.cc/10.1016/j.ejca.2017.06.004" TargetMode="External"/><Relationship Id="rId36" Type="http://schemas.openxmlformats.org/officeDocument/2006/relationships/hyperlink" Target="http://dx.doi.org/10.1038/cddis.2015.4" TargetMode="External"/><Relationship Id="rId49" Type="http://schemas.openxmlformats.org/officeDocument/2006/relationships/hyperlink" Target="http://dx.doi.org/10.1038/nm.1985" TargetMode="External"/><Relationship Id="rId57" Type="http://schemas.openxmlformats.org/officeDocument/2006/relationships/hyperlink" Target="http://eurekaselect.com/98343" TargetMode="External"/><Relationship Id="rId10" Type="http://schemas.openxmlformats.org/officeDocument/2006/relationships/hyperlink" Target="https://scholar.google.com/citations?user=s-INGgYAAAAJ&amp;hl=en&amp;oi=ao" TargetMode="External"/><Relationship Id="rId31" Type="http://schemas.openxmlformats.org/officeDocument/2006/relationships/hyperlink" Target="http://atvb.ahajournals.org/content/early/2016/09/15/ATVBAHA.116.307592.long" TargetMode="External"/><Relationship Id="rId44" Type="http://schemas.openxmlformats.org/officeDocument/2006/relationships/hyperlink" Target="http://dx.doi.org/10.1007/s10456-012-9287-8" TargetMode="External"/><Relationship Id="rId52" Type="http://schemas.openxmlformats.org/officeDocument/2006/relationships/hyperlink" Target="http://dx.doi.org/10.1016/S0014-4827%2803%2900374-4" TargetMode="External"/><Relationship Id="rId60" Type="http://schemas.openxmlformats.org/officeDocument/2006/relationships/hyperlink" Target="https://drive.google.com/file/d/0B5qIMA1Y4F8tbEItTjJyWmJOdk0/view?usp=sharing" TargetMode="External"/><Relationship Id="rId65" Type="http://schemas.openxmlformats.org/officeDocument/2006/relationships/hyperlink" Target="http://atvb.ahajournals.org/content/36/11.cover-expansion" TargetMode="External"/><Relationship Id="rId73" Type="http://schemas.openxmlformats.org/officeDocument/2006/relationships/hyperlink" Target="https://drive.google.com/file/d/1FiEw6SEU7VVx3-u2_jj230V26TKC2srx/view?usp=sharing" TargetMode="External"/><Relationship Id="rId78" Type="http://schemas.openxmlformats.org/officeDocument/2006/relationships/hyperlink" Target="https://drive.google.com/open?id=1VYg-yokylNNn4_Mx3xCIDIhUIZj716Vn" TargetMode="External"/><Relationship Id="rId81" Type="http://schemas.openxmlformats.org/officeDocument/2006/relationships/hyperlink" Target="https://web.archive.org/web/20150626172903/http:/www.swiss.opi.org.pl/projekt/opracowanie-nowych-przeciwnowotworowych-strategii-terapeutycznych-wykorzystujacych-czastki-biologiczne-wplywajace-na-powstawanie-naczyn-limfatycznych/?lang=en"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copus.com/authid/detail.uri?authorId=8625078800" TargetMode="External"/><Relationship Id="rId13" Type="http://schemas.openxmlformats.org/officeDocument/2006/relationships/hyperlink" Target="https://pme.uchicago.edu/fellows/people/witold-kilarski" TargetMode="External"/><Relationship Id="rId18" Type="http://schemas.openxmlformats.org/officeDocument/2006/relationships/hyperlink" Target="http://science.sciencemag.org/content/343/6173/885" TargetMode="External"/><Relationship Id="rId39" Type="http://schemas.openxmlformats.org/officeDocument/2006/relationships/hyperlink" Target="http://dx.doi.org/10.1016/j.ajpath.2013.07.031" TargetMode="External"/><Relationship Id="rId34" Type="http://schemas.openxmlformats.org/officeDocument/2006/relationships/hyperlink" Target="http://dx.doi.org/10.1371/journal.pone.0132661" TargetMode="External"/><Relationship Id="rId50" Type="http://schemas.openxmlformats.org/officeDocument/2006/relationships/hyperlink" Target="https://www.nature.com/articles/3700255" TargetMode="External"/><Relationship Id="rId55" Type="http://schemas.openxmlformats.org/officeDocument/2006/relationships/hyperlink" Target="https://www.ncbi.nlm.nih.gov/pubmed/29984111" TargetMode="External"/><Relationship Id="rId76" Type="http://schemas.openxmlformats.org/officeDocument/2006/relationships/hyperlink" Target="http://science.sciencemag.org/content/325/5936/twil" TargetMode="External"/><Relationship Id="rId7" Type="http://schemas.openxmlformats.org/officeDocument/2006/relationships/endnotes" Target="endnotes.xml"/><Relationship Id="rId71" Type="http://schemas.openxmlformats.org/officeDocument/2006/relationships/hyperlink" Target="http://www.nature.com/nature/journal/v494/n7435/full/494131a.html" TargetMode="External"/><Relationship Id="rId2" Type="http://schemas.openxmlformats.org/officeDocument/2006/relationships/numbering" Target="numbering.xml"/><Relationship Id="rId29" Type="http://schemas.openxmlformats.org/officeDocument/2006/relationships/hyperlink" Target="http://doi.org/10.1016/j.biomaterials.2017.03.033" TargetMode="External"/><Relationship Id="rId24" Type="http://schemas.openxmlformats.org/officeDocument/2006/relationships/hyperlink" Target="https://www.nature.com/articles/s41467-019-10675-2" TargetMode="External"/><Relationship Id="rId40" Type="http://schemas.openxmlformats.org/officeDocument/2006/relationships/hyperlink" Target="https://link.springer.com/article/10.1007%2Fs10456-013-9365-6" TargetMode="External"/><Relationship Id="rId45" Type="http://schemas.openxmlformats.org/officeDocument/2006/relationships/hyperlink" Target="http://dx.doi.org/10.3390/pharmaceutics3010088" TargetMode="External"/><Relationship Id="rId66" Type="http://schemas.openxmlformats.org/officeDocument/2006/relationships/hyperlink" Target="https://merlin.pl/immunologia-podstawowe-zagadnienia-i-aktualnosci-witold-lasek/3749368/" TargetMode="External"/><Relationship Id="rId87" Type="http://schemas.openxmlformats.org/officeDocument/2006/relationships/fontTable" Target="fontTable.xml"/><Relationship Id="rId61" Type="http://schemas.openxmlformats.org/officeDocument/2006/relationships/hyperlink" Target="http://bit.ly/14eINGU" TargetMode="External"/><Relationship Id="rId82" Type="http://schemas.openxmlformats.org/officeDocument/2006/relationships/hyperlink" Target="http://lefoulon-delalande.institut-de-france.fr/histor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70D75-3B9A-47F7-95E3-CF2DFCF0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6386</Words>
  <Characters>36406</Characters>
  <Application>Microsoft Office Word</Application>
  <DocSecurity>0</DocSecurity>
  <Lines>303</Lines>
  <Paragraphs>85</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Curriculum vitae</vt:lpstr>
      <vt:lpstr>    Personal Details</vt:lpstr>
      <vt:lpstr>    Employment History</vt:lpstr>
      <vt:lpstr>    PhD</vt:lpstr>
      <vt:lpstr>    MSc</vt:lpstr>
      <vt:lpstr>    Earlier Lab Experience</vt:lpstr>
      <vt:lpstr>    Research Interests</vt:lpstr>
      <vt:lpstr>        Anti-thrombotic properties of lymphatic endothelium</vt:lpstr>
      <vt:lpstr>        Subcutaneous allograft of humoral (e.g., pancreatic islets) tissue</vt:lpstr>
      <vt:lpstr>        Lipedema – a non-inflammatory disease of the extracellular matrix</vt:lpstr>
      <vt:lpstr>        Infective filaria as a tumor vaccine </vt:lpstr>
      <vt:lpstr>    Research publications</vt:lpstr>
      <vt:lpstr>        Five Most Important Research Publications</vt:lpstr>
      <vt:lpstr>        Reviewed Research Publications </vt:lpstr>
      <vt:lpstr>        Reviews in JCR journals</vt:lpstr>
      <vt:lpstr>        Non-JCR publications</vt:lpstr>
      <vt:lpstr>        Publications in Preparation</vt:lpstr>
      <vt:lpstr>    Awards and Highlights</vt:lpstr>
      <vt:lpstr>    Patents</vt:lpstr>
      <vt:lpstr>    Other Professional Activities</vt:lpstr>
      <vt:lpstr>    Skills</vt:lpstr>
      <vt:lpstr>    Grants Received</vt:lpstr>
      <vt:lpstr>    Conferences and invited presentations</vt:lpstr>
      <vt:lpstr>        Selected Oral Presentations</vt:lpstr>
      <vt:lpstr>        Selected Poster Presentations</vt:lpstr>
      <vt:lpstr>    Personal Statement</vt:lpstr>
      <vt:lpstr>    Past Research </vt:lpstr>
    </vt:vector>
  </TitlesOfParts>
  <Company/>
  <LinksUpToDate>false</LinksUpToDate>
  <CharactersWithSpaces>42707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Utilisateur</dc:creator>
  <cp:keywords/>
  <dc:description/>
  <cp:lastModifiedBy>Witek Kila</cp:lastModifiedBy>
  <cp:revision>3</cp:revision>
  <cp:lastPrinted>2021-05-10T11:22:00Z</cp:lastPrinted>
  <dcterms:created xsi:type="dcterms:W3CDTF">2023-08-31T02:20:00Z</dcterms:created>
  <dcterms:modified xsi:type="dcterms:W3CDTF">2023-08-31T20:08:00Z</dcterms:modified>
</cp:coreProperties>
</file>