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4907" w:rsidRPr="005746EE" w:rsidRDefault="00000000">
      <w:pPr>
        <w:spacing w:before="240" w:line="288" w:lineRule="auto"/>
        <w:rPr>
          <w:sz w:val="28"/>
          <w:szCs w:val="28"/>
        </w:rPr>
      </w:pPr>
      <w:bookmarkStart w:id="0" w:name="konflikty_interesów_i_nieprawidło_2eb493"/>
      <w:r w:rsidRPr="005746EE">
        <w:rPr>
          <w:rFonts w:eastAsia="Georgia" w:hAnsi="Georgia" w:cs="Georgia"/>
          <w:b/>
          <w:sz w:val="28"/>
          <w:szCs w:val="28"/>
        </w:rPr>
        <w:t>Konflikty interesów i nieprawidłowości w Narodowym Centrum Nauki</w:t>
      </w:r>
      <w:r w:rsidRPr="005746EE">
        <w:rPr>
          <w:rFonts w:eastAsia="Georgia" w:hAnsi="Georgia" w:cs="Georgia"/>
          <w:b/>
          <w:sz w:val="24"/>
          <w:szCs w:val="24"/>
        </w:rPr>
        <w:t xml:space="preserve"> </w:t>
      </w:r>
      <w:r w:rsidRPr="005746EE">
        <w:rPr>
          <w:rFonts w:eastAsia="Georgia" w:hAnsi="Georgia" w:cs="Georgia"/>
          <w:b/>
          <w:sz w:val="28"/>
          <w:szCs w:val="28"/>
        </w:rPr>
        <w:t>— dokumentacja</w:t>
      </w:r>
      <w:bookmarkEnd w:id="0"/>
    </w:p>
    <w:p w:rsidR="00BE4907" w:rsidRPr="005746EE" w:rsidRDefault="00000000">
      <w:pPr>
        <w:spacing w:after="210"/>
        <w:rPr>
          <w:sz w:val="24"/>
          <w:szCs w:val="24"/>
          <w:lang w:val="en-US"/>
        </w:rPr>
      </w:pPr>
      <w:r w:rsidRPr="005746EE">
        <w:rPr>
          <w:b/>
          <w:sz w:val="24"/>
          <w:szCs w:val="24"/>
          <w:lang w:val="en-US"/>
        </w:rPr>
        <w:t>Autor:</w:t>
      </w:r>
      <w:r w:rsidRPr="005746EE">
        <w:rPr>
          <w:sz w:val="24"/>
          <w:szCs w:val="24"/>
          <w:lang w:val="en-US"/>
        </w:rPr>
        <w:t xml:space="preserve"> Dr Witold Kilarski</w:t>
      </w:r>
    </w:p>
    <w:p w:rsidR="00BE4907" w:rsidRPr="005746EE" w:rsidRDefault="00000000">
      <w:pPr>
        <w:spacing w:after="210"/>
        <w:rPr>
          <w:sz w:val="24"/>
          <w:szCs w:val="24"/>
          <w:lang w:val="en-US"/>
        </w:rPr>
      </w:pPr>
      <w:r w:rsidRPr="005746EE">
        <w:rPr>
          <w:b/>
          <w:sz w:val="24"/>
          <w:szCs w:val="24"/>
          <w:lang w:val="en-US"/>
        </w:rPr>
        <w:t>Data:</w:t>
      </w:r>
      <w:r w:rsidRPr="005746EE">
        <w:rPr>
          <w:rFonts w:eastAsia="Georgia" w:hAnsi="Georgia" w:cs="Georgia"/>
          <w:sz w:val="24"/>
          <w:szCs w:val="24"/>
          <w:lang w:val="en-US"/>
        </w:rPr>
        <w:t xml:space="preserve"> </w:t>
      </w:r>
      <w:r w:rsidR="005746EE">
        <w:rPr>
          <w:rFonts w:eastAsia="Georgia" w:hAnsi="Georgia" w:cs="Georgia"/>
          <w:sz w:val="24"/>
          <w:szCs w:val="24"/>
          <w:lang w:val="en-US"/>
        </w:rPr>
        <w:t xml:space="preserve">24 </w:t>
      </w:r>
      <w:proofErr w:type="spellStart"/>
      <w:r w:rsidR="005746EE">
        <w:rPr>
          <w:rFonts w:eastAsia="Georgia" w:hAnsi="Georgia" w:cs="Georgia"/>
          <w:sz w:val="24"/>
          <w:szCs w:val="24"/>
          <w:lang w:val="en-US"/>
        </w:rPr>
        <w:t>luty</w:t>
      </w:r>
      <w:proofErr w:type="spellEnd"/>
      <w:r w:rsidRPr="005746EE">
        <w:rPr>
          <w:rFonts w:eastAsia="Georgia" w:hAnsi="Georgia" w:cs="Georgia"/>
          <w:sz w:val="24"/>
          <w:szCs w:val="24"/>
          <w:lang w:val="en-US"/>
        </w:rPr>
        <w:t xml:space="preserve"> 2026 r.</w:t>
      </w:r>
    </w:p>
    <w:p w:rsidR="00BE4907" w:rsidRPr="005746EE" w:rsidRDefault="005746EE">
      <w:pPr>
        <w:rPr>
          <w:sz w:val="24"/>
          <w:szCs w:val="24"/>
        </w:rPr>
      </w:pPr>
      <w:r w:rsidRPr="005746EE">
        <w:rPr>
          <w:noProof/>
          <w:sz w:val="24"/>
          <w:szCs w:val="24"/>
        </w:rPr>
      </w:r>
      <w:r w:rsidR="005746EE" w:rsidRPr="005746EE">
        <w:rPr>
          <w:noProof/>
          <w:sz w:val="24"/>
          <w:szCs w:val="24"/>
        </w:rPr>
        <w:pict>
          <v:rect id="_x0000_i1025" alt="" style="width:434.5pt;height:.05pt;mso-width-percent:0;mso-height-percent:0;mso-width-percent:0;mso-height-percent:0" o:hralign="center" o:hrstd="t" o:hr="t"/>
        </w:pic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1" w:name="bm_1_konflikt_interesów_dyrektora_448688"/>
      <w:r w:rsidRPr="005746EE">
        <w:rPr>
          <w:rFonts w:eastAsia="Georgia" w:hAnsi="Georgia" w:cs="Georgia"/>
          <w:b/>
          <w:sz w:val="24"/>
          <w:szCs w:val="24"/>
        </w:rPr>
        <w:t xml:space="preserve">1. Konflikt interesów dyrektora NCN Zbigniewa Błockiego przy współpracy z beneficjentem grantu NCN Włodzimierzem </w:t>
      </w:r>
      <w:proofErr w:type="spellStart"/>
      <w:r w:rsidRPr="005746EE">
        <w:rPr>
          <w:rFonts w:eastAsia="Georgia" w:hAnsi="Georgia" w:cs="Georgia"/>
          <w:b/>
          <w:sz w:val="24"/>
          <w:szCs w:val="24"/>
        </w:rPr>
        <w:t>Zwonkiem</w:t>
      </w:r>
      <w:bookmarkEnd w:id="1"/>
      <w:proofErr w:type="spellEnd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Dr Zbigniew Błocki, pełniący funkcję dyrektora Narodowego Centrum Nauki (NCN) od marca 2015 do 2023 roku, prowadził współpracę naukową ze swoim wieloletnim znajomym, prof. Włodzimierzem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Zwonkiem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— dziekanem Instytutu Matematyki Uniwersytetu Jagiellońskiego w latach 2016–2024. Współpraca ta odbywała się w ramach grantu OPUS (nr 2015/17/B/ST1/00996, kwota: 328 800 PLN), przyznanego prof.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Zwonkowi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przez NCN w 2016 roku, tj. w okresie sprawowania przez dr. Błockiego funkcji dyrektora NCN.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Poniższe publikacje dokumentują współpracę naukową dr. Błockiego z prof.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Zwonkiem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w okresie, gdy dr Błocki pełnił funkcję dyrektora NCN:</w:t>
      </w:r>
    </w:p>
    <w:p w:rsidR="00BE4907" w:rsidRPr="005746EE" w:rsidRDefault="00000000">
      <w:pPr>
        <w:numPr>
          <w:ilvl w:val="0"/>
          <w:numId w:val="1"/>
        </w:numPr>
        <w:spacing w:after="210"/>
        <w:rPr>
          <w:sz w:val="24"/>
          <w:szCs w:val="24"/>
          <w:lang w:val="en-US"/>
        </w:rPr>
      </w:pPr>
      <w:r w:rsidRPr="005746EE">
        <w:rPr>
          <w:rFonts w:eastAsia="Georgia" w:hAnsi="Georgia" w:cs="Georgia"/>
          <w:sz w:val="24"/>
          <w:szCs w:val="24"/>
          <w:lang w:val="en-US"/>
        </w:rPr>
        <w:t xml:space="preserve">Z. Błocki, W. </w:t>
      </w:r>
      <w:proofErr w:type="spellStart"/>
      <w:r w:rsidRPr="005746EE">
        <w:rPr>
          <w:rFonts w:eastAsia="Georgia" w:hAnsi="Georgia" w:cs="Georgia"/>
          <w:sz w:val="24"/>
          <w:szCs w:val="24"/>
          <w:lang w:val="en-US"/>
        </w:rPr>
        <w:t>Zwonek</w:t>
      </w:r>
      <w:proofErr w:type="spellEnd"/>
      <w:r w:rsidRPr="005746EE">
        <w:rPr>
          <w:rFonts w:eastAsia="Georgia" w:hAnsi="Georgia" w:cs="Georgia"/>
          <w:sz w:val="24"/>
          <w:szCs w:val="24"/>
          <w:lang w:val="en-US"/>
        </w:rPr>
        <w:t xml:space="preserve">, </w:t>
      </w:r>
      <w:r w:rsidRPr="005746EE">
        <w:rPr>
          <w:i/>
          <w:sz w:val="24"/>
          <w:szCs w:val="24"/>
          <w:lang w:val="en-US"/>
        </w:rPr>
        <w:t xml:space="preserve">Generalizations of the higher dimensional Suita conjecture and its relation with a problem of </w:t>
      </w:r>
      <w:proofErr w:type="spellStart"/>
      <w:r w:rsidRPr="005746EE">
        <w:rPr>
          <w:i/>
          <w:sz w:val="24"/>
          <w:szCs w:val="24"/>
          <w:lang w:val="en-US"/>
        </w:rPr>
        <w:t>Wiegerinck</w:t>
      </w:r>
      <w:proofErr w:type="spellEnd"/>
      <w:r w:rsidRPr="005746EE">
        <w:rPr>
          <w:sz w:val="24"/>
          <w:szCs w:val="24"/>
          <w:lang w:val="en-US"/>
        </w:rPr>
        <w:t>, Journal of Geometric Analysis 30 (</w:t>
      </w:r>
      <w:r w:rsidRPr="005746EE">
        <w:rPr>
          <w:b/>
          <w:sz w:val="24"/>
          <w:szCs w:val="24"/>
          <w:lang w:val="en-US"/>
        </w:rPr>
        <w:t>2020</w:t>
      </w:r>
      <w:r w:rsidRPr="005746EE">
        <w:rPr>
          <w:rFonts w:eastAsia="Georgia" w:hAnsi="Georgia" w:cs="Georgia"/>
          <w:sz w:val="24"/>
          <w:szCs w:val="24"/>
          <w:lang w:val="en-US"/>
        </w:rPr>
        <w:t>), 1259–1270</w:t>
      </w:r>
    </w:p>
    <w:p w:rsidR="00BE4907" w:rsidRPr="005746EE" w:rsidRDefault="00000000">
      <w:pPr>
        <w:numPr>
          <w:ilvl w:val="0"/>
          <w:numId w:val="1"/>
        </w:numPr>
        <w:spacing w:after="210"/>
        <w:rPr>
          <w:sz w:val="24"/>
          <w:szCs w:val="24"/>
          <w:lang w:val="en-US"/>
        </w:rPr>
      </w:pPr>
      <w:r w:rsidRPr="005746EE">
        <w:rPr>
          <w:rFonts w:eastAsia="Georgia" w:hAnsi="Georgia" w:cs="Georgia"/>
          <w:sz w:val="24"/>
          <w:szCs w:val="24"/>
          <w:lang w:val="en-US"/>
        </w:rPr>
        <w:t xml:space="preserve">Z. Błocki, W. </w:t>
      </w:r>
      <w:proofErr w:type="spellStart"/>
      <w:r w:rsidRPr="005746EE">
        <w:rPr>
          <w:rFonts w:eastAsia="Georgia" w:hAnsi="Georgia" w:cs="Georgia"/>
          <w:sz w:val="24"/>
          <w:szCs w:val="24"/>
          <w:lang w:val="en-US"/>
        </w:rPr>
        <w:t>Zwonek</w:t>
      </w:r>
      <w:proofErr w:type="spellEnd"/>
      <w:r w:rsidRPr="005746EE">
        <w:rPr>
          <w:rFonts w:eastAsia="Georgia" w:hAnsi="Georgia" w:cs="Georgia"/>
          <w:sz w:val="24"/>
          <w:szCs w:val="24"/>
          <w:lang w:val="en-US"/>
        </w:rPr>
        <w:t xml:space="preserve">, </w:t>
      </w:r>
      <w:r w:rsidRPr="005746EE">
        <w:rPr>
          <w:i/>
          <w:sz w:val="24"/>
          <w:szCs w:val="24"/>
          <w:lang w:val="en-US"/>
        </w:rPr>
        <w:t xml:space="preserve">One dimensional </w:t>
      </w:r>
      <w:proofErr w:type="gramStart"/>
      <w:r w:rsidRPr="005746EE">
        <w:rPr>
          <w:i/>
          <w:sz w:val="24"/>
          <w:szCs w:val="24"/>
          <w:lang w:val="en-US"/>
        </w:rPr>
        <w:t>estimates</w:t>
      </w:r>
      <w:proofErr w:type="gramEnd"/>
      <w:r w:rsidRPr="005746EE">
        <w:rPr>
          <w:i/>
          <w:sz w:val="24"/>
          <w:szCs w:val="24"/>
          <w:lang w:val="en-US"/>
        </w:rPr>
        <w:t xml:space="preserve"> for the Bergman kernel and logarithmic capacity</w:t>
      </w:r>
      <w:r w:rsidRPr="005746EE">
        <w:rPr>
          <w:sz w:val="24"/>
          <w:szCs w:val="24"/>
          <w:lang w:val="en-US"/>
        </w:rPr>
        <w:t>, Proceedings of the American Mathematical Society 146 (</w:t>
      </w:r>
      <w:r w:rsidRPr="005746EE">
        <w:rPr>
          <w:b/>
          <w:sz w:val="24"/>
          <w:szCs w:val="24"/>
          <w:lang w:val="en-US"/>
        </w:rPr>
        <w:t>2018</w:t>
      </w:r>
      <w:r w:rsidRPr="005746EE">
        <w:rPr>
          <w:rFonts w:eastAsia="Georgia" w:hAnsi="Georgia" w:cs="Georgia"/>
          <w:sz w:val="24"/>
          <w:szCs w:val="24"/>
          <w:lang w:val="en-US"/>
        </w:rPr>
        <w:t>), 2489–2495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Dyrektor NCN, będący urzędnikiem państwowym, odpowiada osobiście za kluczowe decyzje wydawane przez NCN, w tym przyznawanie grantów, rozpatrywanie </w:t>
      </w:r>
      <w:proofErr w:type="spellStart"/>
      <w:r w:rsidRPr="005746EE">
        <w:rPr>
          <w:rFonts w:eastAsia="Georgia" w:hAnsi="Georgia" w:cs="Georgia"/>
          <w:sz w:val="24"/>
          <w:szCs w:val="24"/>
        </w:rPr>
        <w:t>odwołań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, podpisywanie umów z beneficjentami oraz administracyjną kontrolę przyznanych środków. Współpraca naukowa dr. Błockiego z prof.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Zwonkiem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— beneficjentem grantu przyznanego przez kierowany przez dr. Błockiego NCN — stanowi oczywisty konflikt interesów pomiędzy rolą naukowca a funkcją dyrektora instytucji finansującej naukę.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2" w:name="bm_1_1_publikacje_zwonka_i_błocki_c6f2c8"/>
      <w:r w:rsidRPr="005746EE">
        <w:rPr>
          <w:rFonts w:eastAsia="Georgia" w:hAnsi="Georgia" w:cs="Georgia"/>
          <w:b/>
          <w:sz w:val="24"/>
          <w:szCs w:val="24"/>
        </w:rPr>
        <w:t xml:space="preserve">1.1. Publikacje </w:t>
      </w:r>
      <w:proofErr w:type="spellStart"/>
      <w:r w:rsidRPr="005746EE">
        <w:rPr>
          <w:rFonts w:eastAsia="Georgia" w:hAnsi="Georgia" w:cs="Georgia"/>
          <w:b/>
          <w:sz w:val="24"/>
          <w:szCs w:val="24"/>
        </w:rPr>
        <w:t>Zwonka</w:t>
      </w:r>
      <w:proofErr w:type="spellEnd"/>
      <w:r w:rsidRPr="005746EE">
        <w:rPr>
          <w:rFonts w:eastAsia="Georgia" w:hAnsi="Georgia" w:cs="Georgia"/>
          <w:b/>
          <w:sz w:val="24"/>
          <w:szCs w:val="24"/>
        </w:rPr>
        <w:t xml:space="preserve"> i Błockiego były częściowo finansowane ze środków NCN</w:t>
      </w:r>
      <w:bookmarkEnd w:id="2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W sekcji „</w:t>
      </w:r>
      <w:proofErr w:type="spellStart"/>
      <w:r w:rsidRPr="005746EE">
        <w:rPr>
          <w:rFonts w:eastAsia="Georgia" w:hAnsi="Georgia" w:cs="Georgia"/>
          <w:sz w:val="24"/>
          <w:szCs w:val="24"/>
        </w:rPr>
        <w:t>Acknowledgements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" obu wymienionych publikacji autorzy wskazują na odrębne źródła finansowania: dr Błocki deklaruje grant Ministerstwa Nauki </w:t>
      </w:r>
      <w:proofErr w:type="spellStart"/>
      <w:r w:rsidRPr="005746EE">
        <w:rPr>
          <w:rFonts w:eastAsia="Georgia" w:hAnsi="Georgia" w:cs="Georgia"/>
          <w:sz w:val="24"/>
          <w:szCs w:val="24"/>
        </w:rPr>
        <w:t>Ideas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Plus (nr 0001/ID3/2014/63, kwota: 1 325 300 PLN), natomiast prof.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Zwonek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— grant NCN OPUS (nr 2015/17/B/ST1/00996, kwota: 328 800 PLN).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Niezależnie od deklarowanego podziału źródeł finansowania, współpraca dyrektora NCN z beneficjentem grantu przyznanego przez NCN jest sprzeczna z </w:t>
      </w:r>
      <w:r w:rsidRPr="005746EE">
        <w:rPr>
          <w:rFonts w:eastAsia="Georgia" w:hAnsi="Georgia" w:cs="Georgia"/>
          <w:sz w:val="24"/>
          <w:szCs w:val="24"/>
        </w:rPr>
        <w:lastRenderedPageBreak/>
        <w:t>zasadami rzetelności, etyką zawodową oraz ustawą o NCN. Każdy wspólny projekt korzystający — choćby częściowo — z funduszy przyznanych przez NCN podlega zasadom etycznym i prawnym obowiązującym w NCN.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Warto podkreślić, że zasadę tę wyłożył sam dr Błocki, zeznając w 2023 roku przed Sądem w Krakowie w sprawie, którą wytoczył autorowi niniejszego dokumentu za rozpowszechnianie dowodów domniemanej korupcji w NCN (sygn. akt: II K 321/23). Dr Błocki zeznał, że nawet jeżeli NCN wnosi jedynie niewielką część finansowania — jak w przypadku konkursów NAWA-Powroty, gdzie wkład NCN wynosi zaledwie 10 000 PLN przy łącznym budżecie grantu ok. 1 700 000 PLN — Dyrekcja NCN ma prawo traktować takie granty jako podlegające zasadom NCN.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W praktyce konsekwencje tej wykładni dr. Błockiego ujawniły się w 2021 roku, gdy autor niniejszego dokumentu składał po raz drugi wniosek o grant NAWA-Powroty. Cztery miesiące przed ogłoszeniem wyników konkursu NAWA dyrektor NCN Błocki zażądał od Rektora Warszawskiego Uniwersytetu Medycznego (WUM) zerwania współpracy z wnioskodawcą, uzasadniając to faktem wysyłania mu wiadomości e-mail. Działanie to odniosło zamierzony skutek: po oficjalnym ogłoszeniu wyników NAWA — w których wnioskodawca drugi raz z rzędu zajął pierwszą niefinansowaną pozycję — Rektor WUM zerwał wszelką współpracę bez podania uzasadnienia. Sam dr Błocki przyznał się przed sądem do tego działania, nie przedstawiając jednak podstawy prawnej swojego postępowania.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3" w:name="bm_1_2_deklarowane_źródło_finanso_287548"/>
      <w:r w:rsidRPr="005746EE">
        <w:rPr>
          <w:rFonts w:eastAsia="Georgia" w:hAnsi="Georgia" w:cs="Georgia"/>
          <w:b/>
          <w:sz w:val="24"/>
          <w:szCs w:val="24"/>
        </w:rPr>
        <w:t>1.2. Deklarowane źródło finansowania dr. Błockiego było nieaktywne od 2017 roku</w:t>
      </w:r>
      <w:bookmarkEnd w:id="3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W sekcji „</w:t>
      </w:r>
      <w:proofErr w:type="spellStart"/>
      <w:r w:rsidRPr="005746EE">
        <w:rPr>
          <w:rFonts w:eastAsia="Georgia" w:hAnsi="Georgia" w:cs="Georgia"/>
          <w:sz w:val="24"/>
          <w:szCs w:val="24"/>
        </w:rPr>
        <w:t>Acknowledgements</w:t>
      </w:r>
      <w:proofErr w:type="spellEnd"/>
      <w:r w:rsidRPr="005746EE">
        <w:rPr>
          <w:rFonts w:eastAsia="Georgia" w:hAnsi="Georgia" w:cs="Georgia"/>
          <w:sz w:val="24"/>
          <w:szCs w:val="24"/>
        </w:rPr>
        <w:t>" obu publikacji obaj autorzy deklarują odrębne źródła finansowania. Jednak 36-miesięczny grant dr. Błockiego (</w:t>
      </w:r>
      <w:proofErr w:type="spellStart"/>
      <w:r w:rsidRPr="005746EE">
        <w:rPr>
          <w:rFonts w:eastAsia="Georgia" w:hAnsi="Georgia" w:cs="Georgia"/>
          <w:sz w:val="24"/>
          <w:szCs w:val="24"/>
        </w:rPr>
        <w:t>Ideas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Plus), przyznany w 2014 roku przez Ministerstwo Nauki, został zamknięty i rozliczony w 2017 roku — czyli </w:t>
      </w:r>
      <w:r w:rsidRPr="005746EE">
        <w:rPr>
          <w:b/>
          <w:sz w:val="24"/>
          <w:szCs w:val="24"/>
        </w:rPr>
        <w:t>przed</w:t>
      </w:r>
      <w:r w:rsidRPr="005746EE">
        <w:rPr>
          <w:rFonts w:eastAsia="Georgia" w:hAnsi="Georgia" w:cs="Georgia"/>
          <w:sz w:val="24"/>
          <w:szCs w:val="24"/>
        </w:rPr>
        <w:t xml:space="preserve"> publikacjami z 2018 i 2020 roku. Zakończony grant nie mógł zatem służyć jako źródło finansowania prac nad wspólnymi projektami.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Konsekwentnie, jedynymi dostępnymi funduszami, z których mógł korzystać dr Błocki podczas współpracy z prof.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Zwonkiem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, były środki z wciąż aktywnego grantu OPUS prof.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Zwonka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(nr 2015/17/B/ST1/00996, 328 800 PLN) — grantu przyznanego przez NCN w 2016 roku, tj. za kadencji dr. Błockiego jako dyrektora NCN.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4" w:name="bm_1_3_wieloletnia_relacja_zawodo_e6d551"/>
      <w:r w:rsidRPr="005746EE">
        <w:rPr>
          <w:rFonts w:eastAsia="Georgia" w:hAnsi="Georgia" w:cs="Georgia"/>
          <w:b/>
          <w:sz w:val="24"/>
          <w:szCs w:val="24"/>
        </w:rPr>
        <w:t xml:space="preserve">1.3. Wieloletnia relacja zawodowa między dr. Błockim a prof. </w:t>
      </w:r>
      <w:proofErr w:type="spellStart"/>
      <w:r w:rsidRPr="005746EE">
        <w:rPr>
          <w:rFonts w:eastAsia="Georgia" w:hAnsi="Georgia" w:cs="Georgia"/>
          <w:b/>
          <w:sz w:val="24"/>
          <w:szCs w:val="24"/>
        </w:rPr>
        <w:t>Zwonkiem</w:t>
      </w:r>
      <w:bookmarkEnd w:id="4"/>
      <w:proofErr w:type="spellEnd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Doktorzy Błocki i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Zwonek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znali się i współpracowali naukowo na długo przed uzyskaniem przez dr. Błockiego stanowiska dyrektora NCN: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b/>
          <w:sz w:val="24"/>
          <w:szCs w:val="24"/>
        </w:rPr>
        <w:t>1.3.1.</w:t>
      </w:r>
      <w:r w:rsidRPr="005746EE">
        <w:rPr>
          <w:rFonts w:eastAsia="Georgia" w:hAnsi="Georgia" w:cs="Georgia"/>
          <w:sz w:val="24"/>
          <w:szCs w:val="24"/>
        </w:rPr>
        <w:t xml:space="preserve"> Przynajmniej od 1995 roku do 2015 roku obaj byli zatrudnieni w Instytucie Matematyki UJ (IM UJ). Prof.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Zwonek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pełnił funkcję dziekana IM UJ w latach 2016–2024 (zob. </w:t>
      </w:r>
      <w:hyperlink r:id="rId7">
        <w:r w:rsidRPr="005746EE">
          <w:rPr>
            <w:rFonts w:eastAsia="Georgia" w:hAnsi="Georgia" w:cs="Georgia"/>
            <w:color w:val="4472C4"/>
            <w:sz w:val="24"/>
            <w:szCs w:val="24"/>
          </w:rPr>
          <w:t xml:space="preserve">Wikipedia: Włodzimierz </w:t>
        </w:r>
        <w:proofErr w:type="spellStart"/>
        <w:r w:rsidRPr="005746EE">
          <w:rPr>
            <w:rFonts w:eastAsia="Georgia" w:hAnsi="Georgia" w:cs="Georgia"/>
            <w:color w:val="4472C4"/>
            <w:sz w:val="24"/>
            <w:szCs w:val="24"/>
          </w:rPr>
          <w:t>Zwonek</w:t>
        </w:r>
        <w:proofErr w:type="spellEnd"/>
      </w:hyperlink>
      <w:r w:rsidRPr="005746EE">
        <w:rPr>
          <w:sz w:val="24"/>
          <w:szCs w:val="24"/>
        </w:rPr>
        <w:t>).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b/>
          <w:sz w:val="24"/>
          <w:szCs w:val="24"/>
        </w:rPr>
        <w:lastRenderedPageBreak/>
        <w:t>1.3.2.</w:t>
      </w:r>
      <w:r w:rsidRPr="005746EE">
        <w:rPr>
          <w:rFonts w:eastAsia="Georgia" w:hAnsi="Georgia" w:cs="Georgia"/>
          <w:sz w:val="24"/>
          <w:szCs w:val="24"/>
        </w:rPr>
        <w:t xml:space="preserve"> Już w 2014 roku opublikowali wspólne wyniki badawcze w dwóch czasopismach naukowych (zob. </w:t>
      </w:r>
      <w:hyperlink r:id="rId8" w:anchor="/profile/scientist?id=21002&amp;_k=e109qt">
        <w:r w:rsidRPr="005746EE">
          <w:rPr>
            <w:color w:val="4472C4"/>
            <w:sz w:val="24"/>
            <w:szCs w:val="24"/>
          </w:rPr>
          <w:t>Archiwum Nauka Polska</w:t>
        </w:r>
      </w:hyperlink>
      <w:r w:rsidRPr="005746EE">
        <w:rPr>
          <w:sz w:val="24"/>
          <w:szCs w:val="24"/>
        </w:rPr>
        <w:t>).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b/>
          <w:sz w:val="24"/>
          <w:szCs w:val="24"/>
        </w:rPr>
        <w:t>1.3.3.</w:t>
      </w:r>
      <w:r w:rsidRPr="005746EE">
        <w:rPr>
          <w:rFonts w:eastAsia="Georgia" w:hAnsi="Georgia" w:cs="Georgia"/>
          <w:sz w:val="24"/>
          <w:szCs w:val="24"/>
        </w:rPr>
        <w:t xml:space="preserve"> W 2023 roku, po odejściu ze stanowiska dyrektora NCN, dr Błocki uzyskał zatrudnienie w Katedrze Analizy Matematycznej IM UJ (KAM IM UJ), której kierownikiem był i nadal jest prof.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Zwonek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(zob. </w:t>
      </w:r>
      <w:hyperlink r:id="rId9">
        <w:r w:rsidRPr="005746EE">
          <w:rPr>
            <w:color w:val="4472C4"/>
            <w:sz w:val="24"/>
            <w:szCs w:val="24"/>
          </w:rPr>
          <w:t>Struktura IM UJ</w:t>
        </w:r>
      </w:hyperlink>
      <w:r w:rsidRPr="005746EE">
        <w:rPr>
          <w:sz w:val="24"/>
          <w:szCs w:val="24"/>
        </w:rPr>
        <w:t>).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b/>
          <w:sz w:val="24"/>
          <w:szCs w:val="24"/>
        </w:rPr>
        <w:t>1.3.4.</w:t>
      </w:r>
      <w:r w:rsidRPr="005746EE">
        <w:rPr>
          <w:rFonts w:eastAsia="Georgia" w:hAnsi="Georgia" w:cs="Georgia"/>
          <w:sz w:val="24"/>
          <w:szCs w:val="24"/>
        </w:rPr>
        <w:t xml:space="preserve"> W momencie zatrudniania dr. Błockiego w 2023 roku prof.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Zwonek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pełnił również obowiązki dziekana IM UJ, co dawało mu bezpośredni wpływ na politykę zatrudnienia Instytutu. Zgodnie ze Statutem UJ: </w:t>
      </w:r>
      <w:r w:rsidRPr="005746EE">
        <w:rPr>
          <w:i/>
          <w:sz w:val="24"/>
          <w:szCs w:val="24"/>
        </w:rPr>
        <w:t>„</w:t>
      </w:r>
      <w:r w:rsidRPr="005746EE">
        <w:rPr>
          <w:i/>
          <w:sz w:val="24"/>
          <w:szCs w:val="24"/>
        </w:rPr>
        <w:t>Dziekan Wydzia</w:t>
      </w:r>
      <w:r w:rsidRPr="005746EE">
        <w:rPr>
          <w:i/>
          <w:sz w:val="24"/>
          <w:szCs w:val="24"/>
        </w:rPr>
        <w:t>ł</w:t>
      </w:r>
      <w:r w:rsidRPr="005746EE">
        <w:rPr>
          <w:i/>
          <w:sz w:val="24"/>
          <w:szCs w:val="24"/>
        </w:rPr>
        <w:t>u UJ realizuje polityk</w:t>
      </w:r>
      <w:r w:rsidRPr="005746EE">
        <w:rPr>
          <w:i/>
          <w:sz w:val="24"/>
          <w:szCs w:val="24"/>
        </w:rPr>
        <w:t>ę</w:t>
      </w:r>
      <w:r w:rsidRPr="005746EE">
        <w:rPr>
          <w:i/>
          <w:sz w:val="24"/>
          <w:szCs w:val="24"/>
        </w:rPr>
        <w:t xml:space="preserve"> personaln</w:t>
      </w:r>
      <w:r w:rsidRPr="005746EE">
        <w:rPr>
          <w:i/>
          <w:sz w:val="24"/>
          <w:szCs w:val="24"/>
        </w:rPr>
        <w:t>ą</w:t>
      </w:r>
      <w:r w:rsidRPr="005746EE">
        <w:rPr>
          <w:i/>
          <w:sz w:val="24"/>
          <w:szCs w:val="24"/>
        </w:rPr>
        <w:t xml:space="preserve"> wydzia</w:t>
      </w:r>
      <w:r w:rsidRPr="005746EE">
        <w:rPr>
          <w:i/>
          <w:sz w:val="24"/>
          <w:szCs w:val="24"/>
        </w:rPr>
        <w:t>ł</w:t>
      </w:r>
      <w:r w:rsidRPr="005746EE">
        <w:rPr>
          <w:i/>
          <w:sz w:val="24"/>
          <w:szCs w:val="24"/>
        </w:rPr>
        <w:t>u i przedstawia Rektorowi, za zgod</w:t>
      </w:r>
      <w:r w:rsidRPr="005746EE">
        <w:rPr>
          <w:i/>
          <w:sz w:val="24"/>
          <w:szCs w:val="24"/>
        </w:rPr>
        <w:t>ą</w:t>
      </w:r>
      <w:r w:rsidRPr="005746EE">
        <w:rPr>
          <w:i/>
          <w:sz w:val="24"/>
          <w:szCs w:val="24"/>
        </w:rPr>
        <w:t xml:space="preserve"> rady wydzia</w:t>
      </w:r>
      <w:r w:rsidRPr="005746EE">
        <w:rPr>
          <w:i/>
          <w:sz w:val="24"/>
          <w:szCs w:val="24"/>
        </w:rPr>
        <w:t>ł</w:t>
      </w:r>
      <w:r w:rsidRPr="005746EE">
        <w:rPr>
          <w:i/>
          <w:sz w:val="24"/>
          <w:szCs w:val="24"/>
        </w:rPr>
        <w:t>u, wnioski o zatrudnienie na stanowiska nauczycieli akademickich wydzia</w:t>
      </w:r>
      <w:r w:rsidRPr="005746EE">
        <w:rPr>
          <w:i/>
          <w:sz w:val="24"/>
          <w:szCs w:val="24"/>
        </w:rPr>
        <w:t>ł</w:t>
      </w:r>
      <w:r w:rsidRPr="005746EE">
        <w:rPr>
          <w:i/>
          <w:sz w:val="24"/>
          <w:szCs w:val="24"/>
        </w:rPr>
        <w:t>u, a tak</w:t>
      </w:r>
      <w:r w:rsidRPr="005746EE">
        <w:rPr>
          <w:i/>
          <w:sz w:val="24"/>
          <w:szCs w:val="24"/>
        </w:rPr>
        <w:t>ż</w:t>
      </w:r>
      <w:r w:rsidRPr="005746EE">
        <w:rPr>
          <w:i/>
          <w:sz w:val="24"/>
          <w:szCs w:val="24"/>
        </w:rPr>
        <w:t>e og</w:t>
      </w:r>
      <w:r w:rsidRPr="005746EE">
        <w:rPr>
          <w:i/>
          <w:sz w:val="24"/>
          <w:szCs w:val="24"/>
        </w:rPr>
        <w:t>ł</w:t>
      </w:r>
      <w:r w:rsidRPr="005746EE">
        <w:rPr>
          <w:i/>
          <w:sz w:val="24"/>
          <w:szCs w:val="24"/>
        </w:rPr>
        <w:t>asza, po zasi</w:t>
      </w:r>
      <w:r w:rsidRPr="005746EE">
        <w:rPr>
          <w:i/>
          <w:sz w:val="24"/>
          <w:szCs w:val="24"/>
        </w:rPr>
        <w:t>ę</w:t>
      </w:r>
      <w:r w:rsidRPr="005746EE">
        <w:rPr>
          <w:i/>
          <w:sz w:val="24"/>
          <w:szCs w:val="24"/>
        </w:rPr>
        <w:t>gni</w:t>
      </w:r>
      <w:r w:rsidRPr="005746EE">
        <w:rPr>
          <w:i/>
          <w:sz w:val="24"/>
          <w:szCs w:val="24"/>
        </w:rPr>
        <w:t>ę</w:t>
      </w:r>
      <w:r w:rsidRPr="005746EE">
        <w:rPr>
          <w:i/>
          <w:sz w:val="24"/>
          <w:szCs w:val="24"/>
        </w:rPr>
        <w:t>ciu opinii rady wydzia</w:t>
      </w:r>
      <w:r w:rsidRPr="005746EE">
        <w:rPr>
          <w:i/>
          <w:sz w:val="24"/>
          <w:szCs w:val="24"/>
        </w:rPr>
        <w:t>ł</w:t>
      </w:r>
      <w:r w:rsidRPr="005746EE">
        <w:rPr>
          <w:i/>
          <w:sz w:val="24"/>
          <w:szCs w:val="24"/>
        </w:rPr>
        <w:t>u, konkursy na stanowiska nauczycieli akademickich."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b/>
          <w:sz w:val="24"/>
          <w:szCs w:val="24"/>
        </w:rPr>
        <w:t>1.3.5.</w:t>
      </w:r>
      <w:r w:rsidRPr="005746EE">
        <w:rPr>
          <w:rFonts w:eastAsia="Georgia" w:hAnsi="Georgia" w:cs="Georgia"/>
          <w:sz w:val="24"/>
          <w:szCs w:val="24"/>
        </w:rPr>
        <w:t xml:space="preserve"> W 2021 roku prof.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Zwonek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użył obu publikacji powstałych we współpracy z dr. Błockim do rozliczenia przed NCN grantu OPUS przyznanego mu w 2016 roku. Grant ten został zatem przyznany i rozliczony przez NCN w czasie, gdy dyrektorem NCN był Zbigniew Błocki (zob. </w:t>
      </w:r>
      <w:hyperlink r:id="rId10">
        <w:r w:rsidRPr="005746EE">
          <w:rPr>
            <w:color w:val="4472C4"/>
            <w:sz w:val="24"/>
            <w:szCs w:val="24"/>
          </w:rPr>
          <w:t>Projekty NCN</w:t>
        </w:r>
      </w:hyperlink>
      <w:r w:rsidRPr="005746EE">
        <w:rPr>
          <w:sz w:val="24"/>
          <w:szCs w:val="24"/>
        </w:rPr>
        <w:t>).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5" w:name="bm_1_4_konkluzja_dotycząca_sprawy_ab542e"/>
      <w:r w:rsidRPr="005746EE">
        <w:rPr>
          <w:rFonts w:eastAsia="Georgia" w:hAnsi="Georgia" w:cs="Georgia"/>
          <w:b/>
          <w:sz w:val="24"/>
          <w:szCs w:val="24"/>
        </w:rPr>
        <w:t>1.4. Konkluzja dotycząca sprawy Błocki–</w:t>
      </w:r>
      <w:proofErr w:type="spellStart"/>
      <w:r w:rsidRPr="005746EE">
        <w:rPr>
          <w:rFonts w:eastAsia="Georgia" w:hAnsi="Georgia" w:cs="Georgia"/>
          <w:b/>
          <w:sz w:val="24"/>
          <w:szCs w:val="24"/>
        </w:rPr>
        <w:t>Zwonek</w:t>
      </w:r>
      <w:bookmarkEnd w:id="5"/>
      <w:proofErr w:type="spellEnd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Opisana sytuacja rodzi uzasadnione obawy dotyczące konfliktu interesów dyrektora NCN współpracującego naukowo z beneficjentem grantu NCN, przyznanego w trakcie pełnienia przez niego funkcji urzędnika państwowego. Budzi ona również pytania o ekonomiczny wymiar tej relacji oraz o rzetelność procedur przyznawania grantów przez NCN — nie tylko w odniesieniu do grantu prof. </w:t>
      </w:r>
      <w:proofErr w:type="spellStart"/>
      <w:r w:rsidRPr="005746EE">
        <w:rPr>
          <w:rFonts w:eastAsia="Georgia" w:hAnsi="Georgia" w:cs="Georgia"/>
          <w:sz w:val="24"/>
          <w:szCs w:val="24"/>
        </w:rPr>
        <w:t>Zwonka</w:t>
      </w:r>
      <w:proofErr w:type="spellEnd"/>
      <w:r w:rsidRPr="005746EE">
        <w:rPr>
          <w:rFonts w:eastAsia="Georgia" w:hAnsi="Georgia" w:cs="Georgia"/>
          <w:sz w:val="24"/>
          <w:szCs w:val="24"/>
        </w:rPr>
        <w:t>, lecz także w przypadku grantów, których beneficjentami byli znajomi innych wysoko postawionych osób w NCN, w tym zastępcy dyrektora NCN (zob. punkt 2 poniżej) oraz Koordynatorów Dyscyplin (zob. punkt 3 poniżej).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Należy podkreślić, że NCN — wbrew standardom konstytucyjnym — nie dopuszcza </w:t>
      </w:r>
      <w:proofErr w:type="spellStart"/>
      <w:r w:rsidRPr="005746EE">
        <w:rPr>
          <w:rFonts w:eastAsia="Georgia" w:hAnsi="Georgia" w:cs="Georgia"/>
          <w:sz w:val="24"/>
          <w:szCs w:val="24"/>
        </w:rPr>
        <w:t>odwołań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merytorycznych od wydanych decyzji grantowych. Jedyną instytucją odwoławczą pozostaje Sąd Administracyjny, co w praktyce eliminuje możliwość podważenia merytorycznych aspektów oceny wniosku. Od początku istnienia NCN prowadził zaledwie 7 spraw sądowych, z czego żadna nie dotyczyła </w:t>
      </w:r>
      <w:proofErr w:type="spellStart"/>
      <w:r w:rsidRPr="005746EE">
        <w:rPr>
          <w:rFonts w:eastAsia="Georgia" w:hAnsi="Georgia" w:cs="Georgia"/>
          <w:sz w:val="24"/>
          <w:szCs w:val="24"/>
        </w:rPr>
        <w:t>odwołań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— 6 dotyczyło sporów z zakresu prawa pracy.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Należy zauważyć, że skuteczne odwołania od spraw proceduralnych, częste przed interwencją autora niniejszego dokumentu u zastępcy dyrektora NCN dr. Marcina Liany, zostały niemal całkowicie zlikwidowane w 2020 roku (zob. punkt 3).</w:t>
      </w:r>
    </w:p>
    <w:p w:rsidR="00BE4907" w:rsidRPr="005746EE" w:rsidRDefault="005746EE">
      <w:pPr>
        <w:rPr>
          <w:sz w:val="24"/>
          <w:szCs w:val="24"/>
        </w:rPr>
      </w:pPr>
      <w:r w:rsidRPr="005746EE">
        <w:rPr>
          <w:noProof/>
          <w:sz w:val="24"/>
          <w:szCs w:val="24"/>
        </w:rPr>
      </w:r>
      <w:r w:rsidR="005746EE" w:rsidRPr="005746EE">
        <w:rPr>
          <w:noProof/>
          <w:sz w:val="24"/>
          <w:szCs w:val="24"/>
        </w:rPr>
        <w:pict>
          <v:rect id="_x0000_i1026" alt="" style="width:434.5pt;height:.05pt;mso-width-percent:0;mso-height-percent:0;mso-width-percent:0;mso-height-percent:0" o:hralign="center" o:hrstd="t" o:hr="t"/>
        </w:pic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6" w:name="bm_2_konflikt_interesów_zastępcy_56d98a"/>
      <w:r w:rsidRPr="005746EE">
        <w:rPr>
          <w:rFonts w:eastAsia="Georgia" w:hAnsi="Georgia" w:cs="Georgia"/>
          <w:b/>
          <w:sz w:val="24"/>
          <w:szCs w:val="24"/>
        </w:rPr>
        <w:t>2. Konflikt interesów zastępcy dyrektora NCN dr. Marcina Liany z beneficjentem grantów NCN prof. Wiesławem Babikiem</w:t>
      </w:r>
      <w:bookmarkEnd w:id="6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lastRenderedPageBreak/>
        <w:t>Dr Marcin Liana pracuje w NCN od chwili jego założenia w 2010 roku. W latach 2017–2018 pełnił funkcję kierownika ds. zarządzania grantami, a od 2018 roku jest zastępcą dyrektora NCN.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Prof. Wiesław Babik — profesor zwyczajny Uniwersytetu Jagiellońskiego, kierownik Zespołu Genomiki i Ewolucji Eksperymentalnej (</w:t>
      </w:r>
      <w:hyperlink r:id="rId11">
        <w:r w:rsidRPr="005746EE">
          <w:rPr>
            <w:color w:val="4472C4"/>
            <w:sz w:val="24"/>
            <w:szCs w:val="24"/>
          </w:rPr>
          <w:t>profil UJ</w:t>
        </w:r>
      </w:hyperlink>
      <w:r w:rsidRPr="005746EE">
        <w:rPr>
          <w:rFonts w:eastAsia="Georgia" w:hAnsi="Georgia" w:cs="Georgia"/>
          <w:sz w:val="24"/>
          <w:szCs w:val="24"/>
        </w:rPr>
        <w:t>) — jest jednym z aktywniejszych beneficjentów grantów NCN. W latach 2012–2022 otrzymał cztery granty z NCN (</w:t>
      </w:r>
      <w:hyperlink r:id="rId12">
        <w:r w:rsidRPr="005746EE">
          <w:rPr>
            <w:rFonts w:eastAsia="Georgia" w:hAnsi="Georgia" w:cs="Georgia"/>
            <w:color w:val="4472C4"/>
            <w:sz w:val="24"/>
            <w:szCs w:val="24"/>
          </w:rPr>
          <w:t>lista grantów</w:t>
        </w:r>
      </w:hyperlink>
      <w:r w:rsidRPr="005746EE">
        <w:rPr>
          <w:sz w:val="24"/>
          <w:szCs w:val="24"/>
        </w:rPr>
        <w:t>).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Od 2015 roku prof. Babik aktywnie współpracuje naukowo z dr. Lianą, korzystając przy tej współpracy z grantów przyznawanych przez NCN — instytucję, w której dr Liana pełni funkcję zastępcy dyrektora. Ich współpraca jest udokumentowana wspólnymi publikacjami w międzynarodowych czasopismach naukowych.</w:t>
      </w:r>
    </w:p>
    <w:p w:rsidR="00BE4907" w:rsidRPr="005746EE" w:rsidRDefault="00000000">
      <w:pPr>
        <w:spacing w:before="240" w:line="271" w:lineRule="auto"/>
        <w:rPr>
          <w:sz w:val="24"/>
          <w:szCs w:val="24"/>
          <w:lang w:val="en-US"/>
        </w:rPr>
      </w:pPr>
      <w:bookmarkStart w:id="7" w:name="bm_2_1_publikacja_z_2015_roku"/>
      <w:r w:rsidRPr="005746EE">
        <w:rPr>
          <w:b/>
          <w:sz w:val="24"/>
          <w:szCs w:val="24"/>
          <w:lang w:val="en-US"/>
        </w:rPr>
        <w:t xml:space="preserve">2.1. </w:t>
      </w:r>
      <w:proofErr w:type="spellStart"/>
      <w:r w:rsidRPr="005746EE">
        <w:rPr>
          <w:b/>
          <w:sz w:val="24"/>
          <w:szCs w:val="24"/>
          <w:lang w:val="en-US"/>
        </w:rPr>
        <w:t>Publikacja</w:t>
      </w:r>
      <w:proofErr w:type="spellEnd"/>
      <w:r w:rsidRPr="005746EE">
        <w:rPr>
          <w:b/>
          <w:sz w:val="24"/>
          <w:szCs w:val="24"/>
          <w:lang w:val="en-US"/>
        </w:rPr>
        <w:t xml:space="preserve"> z 2015 </w:t>
      </w:r>
      <w:proofErr w:type="spellStart"/>
      <w:r w:rsidRPr="005746EE">
        <w:rPr>
          <w:b/>
          <w:sz w:val="24"/>
          <w:szCs w:val="24"/>
          <w:lang w:val="en-US"/>
        </w:rPr>
        <w:t>roku</w:t>
      </w:r>
      <w:bookmarkEnd w:id="7"/>
      <w:proofErr w:type="spellEnd"/>
    </w:p>
    <w:p w:rsidR="00BE4907" w:rsidRPr="005746EE" w:rsidRDefault="00000000">
      <w:pPr>
        <w:spacing w:after="210"/>
        <w:rPr>
          <w:sz w:val="24"/>
          <w:szCs w:val="24"/>
          <w:lang w:val="en-US"/>
        </w:rPr>
      </w:pPr>
      <w:proofErr w:type="spellStart"/>
      <w:r w:rsidRPr="005746EE">
        <w:rPr>
          <w:b/>
          <w:sz w:val="24"/>
          <w:szCs w:val="24"/>
          <w:lang w:val="en-US"/>
        </w:rPr>
        <w:t>Tytu</w:t>
      </w:r>
      <w:r w:rsidRPr="005746EE">
        <w:rPr>
          <w:b/>
          <w:sz w:val="24"/>
          <w:szCs w:val="24"/>
          <w:lang w:val="en-US"/>
        </w:rPr>
        <w:t>ł</w:t>
      </w:r>
      <w:proofErr w:type="spellEnd"/>
      <w:r w:rsidRPr="005746EE">
        <w:rPr>
          <w:b/>
          <w:sz w:val="24"/>
          <w:szCs w:val="24"/>
          <w:lang w:val="en-US"/>
        </w:rPr>
        <w:t>:</w:t>
      </w:r>
      <w:r w:rsidRPr="005746EE">
        <w:rPr>
          <w:sz w:val="24"/>
          <w:szCs w:val="24"/>
          <w:lang w:val="en-US"/>
        </w:rPr>
        <w:t xml:space="preserve"> </w:t>
      </w:r>
      <w:r w:rsidRPr="005746EE">
        <w:rPr>
          <w:i/>
          <w:sz w:val="24"/>
          <w:szCs w:val="24"/>
          <w:lang w:val="en-US"/>
        </w:rPr>
        <w:t xml:space="preserve">The dissection of a Pleistocene refugium: phylogeography of the smooth newt, </w:t>
      </w:r>
      <w:proofErr w:type="spellStart"/>
      <w:r w:rsidRPr="005746EE">
        <w:rPr>
          <w:i/>
          <w:sz w:val="24"/>
          <w:szCs w:val="24"/>
          <w:lang w:val="en-US"/>
        </w:rPr>
        <w:t>Lissotriton</w:t>
      </w:r>
      <w:proofErr w:type="spellEnd"/>
      <w:r w:rsidRPr="005746EE">
        <w:rPr>
          <w:i/>
          <w:sz w:val="24"/>
          <w:szCs w:val="24"/>
          <w:lang w:val="en-US"/>
        </w:rPr>
        <w:t xml:space="preserve"> vulgaris, in the Balkans</w:t>
      </w:r>
      <w:r w:rsidRPr="005746EE">
        <w:rPr>
          <w:sz w:val="24"/>
          <w:szCs w:val="24"/>
          <w:lang w:val="en-US"/>
        </w:rPr>
        <w:br/>
      </w:r>
      <w:proofErr w:type="spellStart"/>
      <w:r w:rsidRPr="005746EE">
        <w:rPr>
          <w:b/>
          <w:sz w:val="24"/>
          <w:szCs w:val="24"/>
          <w:lang w:val="en-US"/>
        </w:rPr>
        <w:t>Ź</w:t>
      </w:r>
      <w:r w:rsidRPr="005746EE">
        <w:rPr>
          <w:b/>
          <w:sz w:val="24"/>
          <w:szCs w:val="24"/>
          <w:lang w:val="en-US"/>
        </w:rPr>
        <w:t>r</w:t>
      </w:r>
      <w:r w:rsidRPr="005746EE">
        <w:rPr>
          <w:b/>
          <w:sz w:val="24"/>
          <w:szCs w:val="24"/>
          <w:lang w:val="en-US"/>
        </w:rPr>
        <w:t>ó</w:t>
      </w:r>
      <w:r w:rsidRPr="005746EE">
        <w:rPr>
          <w:b/>
          <w:sz w:val="24"/>
          <w:szCs w:val="24"/>
          <w:lang w:val="en-US"/>
        </w:rPr>
        <w:t>d</w:t>
      </w:r>
      <w:r w:rsidRPr="005746EE">
        <w:rPr>
          <w:b/>
          <w:sz w:val="24"/>
          <w:szCs w:val="24"/>
          <w:lang w:val="en-US"/>
        </w:rPr>
        <w:t>ł</w:t>
      </w:r>
      <w:r w:rsidRPr="005746EE">
        <w:rPr>
          <w:b/>
          <w:sz w:val="24"/>
          <w:szCs w:val="24"/>
          <w:lang w:val="en-US"/>
        </w:rPr>
        <w:t>o</w:t>
      </w:r>
      <w:proofErr w:type="spellEnd"/>
      <w:r w:rsidRPr="005746EE">
        <w:rPr>
          <w:b/>
          <w:sz w:val="24"/>
          <w:szCs w:val="24"/>
          <w:lang w:val="en-US"/>
        </w:rPr>
        <w:t>:</w:t>
      </w:r>
      <w:r w:rsidRPr="005746EE">
        <w:rPr>
          <w:sz w:val="24"/>
          <w:szCs w:val="24"/>
          <w:lang w:val="en-US"/>
        </w:rPr>
        <w:t xml:space="preserve"> </w:t>
      </w:r>
      <w:hyperlink r:id="rId13">
        <w:r w:rsidRPr="005746EE">
          <w:rPr>
            <w:color w:val="4472C4"/>
            <w:sz w:val="24"/>
            <w:szCs w:val="24"/>
            <w:lang w:val="en-US"/>
          </w:rPr>
          <w:t>Journal of Biogeography</w:t>
        </w:r>
      </w:hyperlink>
    </w:p>
    <w:p w:rsidR="00BE4907" w:rsidRPr="005746EE" w:rsidRDefault="00000000">
      <w:pPr>
        <w:spacing w:after="210"/>
        <w:rPr>
          <w:sz w:val="24"/>
          <w:szCs w:val="24"/>
          <w:lang w:val="en-US"/>
        </w:rPr>
      </w:pPr>
      <w:proofErr w:type="spellStart"/>
      <w:r w:rsidRPr="005746EE">
        <w:rPr>
          <w:b/>
          <w:sz w:val="24"/>
          <w:szCs w:val="24"/>
          <w:lang w:val="en-US"/>
        </w:rPr>
        <w:t>Afiliacja</w:t>
      </w:r>
      <w:proofErr w:type="spellEnd"/>
      <w:r w:rsidRPr="005746EE">
        <w:rPr>
          <w:b/>
          <w:sz w:val="24"/>
          <w:szCs w:val="24"/>
          <w:lang w:val="en-US"/>
        </w:rPr>
        <w:t xml:space="preserve"> dr. Liany:</w:t>
      </w:r>
      <w:r w:rsidRPr="005746EE">
        <w:rPr>
          <w:rFonts w:eastAsia="Georgia" w:hAnsi="Georgia" w:cs="Georgia"/>
          <w:sz w:val="24"/>
          <w:szCs w:val="24"/>
          <w:lang w:val="en-US"/>
        </w:rPr>
        <w:t xml:space="preserve"> Department of Comparative Anatomy, Institute of Zoology, Jagiellonian University, 30-387 Kraków, Poland.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Afiliacja ta budzi poważne wątpliwości. Dr Liana był wówczas zatrudniony w NCN na stanowisku kierownika ds. zarządzania grantami i nie mógł być jednocześnie afiliowany przy Instytucie Zoologii UJ — instytucji, która mogła być beneficjentem grantów NCN. Podanie fałszywej afiliacji w publikacji naukowej stanowi naruszenie zasad rzetelności naukowej.</w:t>
      </w:r>
    </w:p>
    <w:p w:rsidR="00BE4907" w:rsidRPr="005746EE" w:rsidRDefault="00000000">
      <w:pPr>
        <w:spacing w:after="210"/>
        <w:rPr>
          <w:sz w:val="24"/>
          <w:szCs w:val="24"/>
          <w:lang w:val="en-US"/>
        </w:rPr>
      </w:pPr>
      <w:r w:rsidRPr="005746EE">
        <w:rPr>
          <w:rFonts w:eastAsia="Georgia" w:hAnsi="Georgia" w:cs="Georgia"/>
          <w:sz w:val="24"/>
          <w:szCs w:val="24"/>
        </w:rPr>
        <w:t xml:space="preserve">Publikacja ta została użyta do rozliczenia grantu MAESTRO 2 prof. Babika (nr 2012/04/A/NZ8/00662, kwota: 2 990 150 PLN; zob. </w:t>
      </w:r>
      <w:hyperlink r:id="rId14">
        <w:r w:rsidRPr="005746EE">
          <w:rPr>
            <w:color w:val="4472C4"/>
            <w:sz w:val="24"/>
            <w:szCs w:val="24"/>
            <w:lang w:val="en-US"/>
          </w:rPr>
          <w:t>Projekt NCN</w:t>
        </w:r>
      </w:hyperlink>
      <w:r w:rsidRPr="005746EE">
        <w:rPr>
          <w:sz w:val="24"/>
          <w:szCs w:val="24"/>
          <w:lang w:val="en-US"/>
        </w:rPr>
        <w:t>).</w:t>
      </w:r>
    </w:p>
    <w:p w:rsidR="00BE4907" w:rsidRPr="005746EE" w:rsidRDefault="00000000">
      <w:pPr>
        <w:spacing w:before="240" w:line="271" w:lineRule="auto"/>
        <w:rPr>
          <w:sz w:val="24"/>
          <w:szCs w:val="24"/>
          <w:lang w:val="en-US"/>
        </w:rPr>
      </w:pPr>
      <w:bookmarkStart w:id="8" w:name="bm_2_2_publikacja_z_2018_roku"/>
      <w:r w:rsidRPr="005746EE">
        <w:rPr>
          <w:b/>
          <w:sz w:val="24"/>
          <w:szCs w:val="24"/>
          <w:lang w:val="en-US"/>
        </w:rPr>
        <w:t xml:space="preserve">2.2. </w:t>
      </w:r>
      <w:proofErr w:type="spellStart"/>
      <w:r w:rsidRPr="005746EE">
        <w:rPr>
          <w:b/>
          <w:sz w:val="24"/>
          <w:szCs w:val="24"/>
          <w:lang w:val="en-US"/>
        </w:rPr>
        <w:t>Publikacja</w:t>
      </w:r>
      <w:proofErr w:type="spellEnd"/>
      <w:r w:rsidRPr="005746EE">
        <w:rPr>
          <w:b/>
          <w:sz w:val="24"/>
          <w:szCs w:val="24"/>
          <w:lang w:val="en-US"/>
        </w:rPr>
        <w:t xml:space="preserve"> z 2018 </w:t>
      </w:r>
      <w:proofErr w:type="spellStart"/>
      <w:r w:rsidRPr="005746EE">
        <w:rPr>
          <w:b/>
          <w:sz w:val="24"/>
          <w:szCs w:val="24"/>
          <w:lang w:val="en-US"/>
        </w:rPr>
        <w:t>roku</w:t>
      </w:r>
      <w:bookmarkEnd w:id="8"/>
      <w:proofErr w:type="spellEnd"/>
    </w:p>
    <w:p w:rsidR="00BE4907" w:rsidRPr="005746EE" w:rsidRDefault="00000000">
      <w:pPr>
        <w:spacing w:after="210"/>
        <w:rPr>
          <w:sz w:val="24"/>
          <w:szCs w:val="24"/>
          <w:lang w:val="en-US"/>
        </w:rPr>
      </w:pPr>
      <w:proofErr w:type="spellStart"/>
      <w:r w:rsidRPr="005746EE">
        <w:rPr>
          <w:b/>
          <w:sz w:val="24"/>
          <w:szCs w:val="24"/>
          <w:lang w:val="en-US"/>
        </w:rPr>
        <w:t>Tytu</w:t>
      </w:r>
      <w:r w:rsidRPr="005746EE">
        <w:rPr>
          <w:b/>
          <w:sz w:val="24"/>
          <w:szCs w:val="24"/>
          <w:lang w:val="en-US"/>
        </w:rPr>
        <w:t>ł</w:t>
      </w:r>
      <w:proofErr w:type="spellEnd"/>
      <w:r w:rsidRPr="005746EE">
        <w:rPr>
          <w:b/>
          <w:sz w:val="24"/>
          <w:szCs w:val="24"/>
          <w:lang w:val="en-US"/>
        </w:rPr>
        <w:t>:</w:t>
      </w:r>
      <w:r w:rsidRPr="005746EE">
        <w:rPr>
          <w:sz w:val="24"/>
          <w:szCs w:val="24"/>
          <w:lang w:val="en-US"/>
        </w:rPr>
        <w:t xml:space="preserve"> </w:t>
      </w:r>
      <w:r w:rsidRPr="005746EE">
        <w:rPr>
          <w:i/>
          <w:sz w:val="24"/>
          <w:szCs w:val="24"/>
          <w:lang w:val="en-US"/>
        </w:rPr>
        <w:t>The distributions of the six species constituting the smooth newt species complex (</w:t>
      </w:r>
      <w:proofErr w:type="spellStart"/>
      <w:r w:rsidRPr="005746EE">
        <w:rPr>
          <w:i/>
          <w:sz w:val="24"/>
          <w:szCs w:val="24"/>
          <w:lang w:val="en-US"/>
        </w:rPr>
        <w:t>Lissotriton</w:t>
      </w:r>
      <w:proofErr w:type="spellEnd"/>
      <w:r w:rsidRPr="005746EE">
        <w:rPr>
          <w:i/>
          <w:sz w:val="24"/>
          <w:szCs w:val="24"/>
          <w:lang w:val="en-US"/>
        </w:rPr>
        <w:t xml:space="preserve"> vulgaris sensu lato)</w:t>
      </w:r>
      <w:r w:rsidRPr="005746EE">
        <w:rPr>
          <w:sz w:val="24"/>
          <w:szCs w:val="24"/>
          <w:lang w:val="en-US"/>
        </w:rPr>
        <w:br/>
      </w:r>
      <w:proofErr w:type="spellStart"/>
      <w:r w:rsidRPr="005746EE">
        <w:rPr>
          <w:b/>
          <w:sz w:val="24"/>
          <w:szCs w:val="24"/>
          <w:lang w:val="en-US"/>
        </w:rPr>
        <w:t>Ź</w:t>
      </w:r>
      <w:r w:rsidRPr="005746EE">
        <w:rPr>
          <w:b/>
          <w:sz w:val="24"/>
          <w:szCs w:val="24"/>
          <w:lang w:val="en-US"/>
        </w:rPr>
        <w:t>r</w:t>
      </w:r>
      <w:r w:rsidRPr="005746EE">
        <w:rPr>
          <w:b/>
          <w:sz w:val="24"/>
          <w:szCs w:val="24"/>
          <w:lang w:val="en-US"/>
        </w:rPr>
        <w:t>ó</w:t>
      </w:r>
      <w:r w:rsidRPr="005746EE">
        <w:rPr>
          <w:b/>
          <w:sz w:val="24"/>
          <w:szCs w:val="24"/>
          <w:lang w:val="en-US"/>
        </w:rPr>
        <w:t>d</w:t>
      </w:r>
      <w:r w:rsidRPr="005746EE">
        <w:rPr>
          <w:b/>
          <w:sz w:val="24"/>
          <w:szCs w:val="24"/>
          <w:lang w:val="en-US"/>
        </w:rPr>
        <w:t>ł</w:t>
      </w:r>
      <w:r w:rsidRPr="005746EE">
        <w:rPr>
          <w:b/>
          <w:sz w:val="24"/>
          <w:szCs w:val="24"/>
          <w:lang w:val="en-US"/>
        </w:rPr>
        <w:t>o</w:t>
      </w:r>
      <w:proofErr w:type="spellEnd"/>
      <w:r w:rsidRPr="005746EE">
        <w:rPr>
          <w:b/>
          <w:sz w:val="24"/>
          <w:szCs w:val="24"/>
          <w:lang w:val="en-US"/>
        </w:rPr>
        <w:t>:</w:t>
      </w:r>
      <w:r w:rsidRPr="005746EE">
        <w:rPr>
          <w:sz w:val="24"/>
          <w:szCs w:val="24"/>
          <w:lang w:val="en-US"/>
        </w:rPr>
        <w:t xml:space="preserve"> </w:t>
      </w:r>
      <w:hyperlink r:id="rId15">
        <w:r w:rsidRPr="005746EE">
          <w:rPr>
            <w:color w:val="4472C4"/>
            <w:sz w:val="24"/>
            <w:szCs w:val="24"/>
            <w:lang w:val="en-US"/>
          </w:rPr>
          <w:t>Amphibia-Reptilia, Brill</w:t>
        </w:r>
      </w:hyperlink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b/>
          <w:sz w:val="24"/>
          <w:szCs w:val="24"/>
        </w:rPr>
        <w:t>Afiliacja dr. Liany:</w:t>
      </w:r>
      <w:r w:rsidRPr="005746EE">
        <w:rPr>
          <w:rFonts w:eastAsia="Georgia" w:hAnsi="Georgia" w:cs="Georgia"/>
          <w:sz w:val="24"/>
          <w:szCs w:val="24"/>
        </w:rPr>
        <w:t xml:space="preserve"> Obozowa 46, 30-060 Kraków, Poland.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Adres ten nie odpowiada żadnej instytucji naukowej — jest to adres obiektu handlowego (Carrefour Express). Podanie takiej afiliacji dla zastępcy dyrektora NCN w publikacji naukowej finansowanej ze środków publicznych jest niedopuszczalne i stanowi oczywiste naruszenie dobrych praktyk naukowych.</w:t>
      </w:r>
    </w:p>
    <w:p w:rsidR="00BE4907" w:rsidRPr="005746EE" w:rsidRDefault="00000000">
      <w:pPr>
        <w:spacing w:after="210"/>
        <w:rPr>
          <w:sz w:val="24"/>
          <w:szCs w:val="24"/>
          <w:lang w:val="en-US"/>
        </w:rPr>
      </w:pPr>
      <w:r w:rsidRPr="005746EE">
        <w:rPr>
          <w:rFonts w:eastAsia="Georgia" w:hAnsi="Georgia" w:cs="Georgia"/>
          <w:sz w:val="24"/>
          <w:szCs w:val="24"/>
        </w:rPr>
        <w:t xml:space="preserve">Również ta publikacja została użyta do rozliczenia grantu MAESTRO 2 prof. Babika (nr 2012/04/A/NZ8/00662, kwota: 2 990 150 PLN; zob. </w:t>
      </w:r>
      <w:hyperlink r:id="rId16">
        <w:r w:rsidRPr="005746EE">
          <w:rPr>
            <w:color w:val="4472C4"/>
            <w:sz w:val="24"/>
            <w:szCs w:val="24"/>
            <w:lang w:val="en-US"/>
          </w:rPr>
          <w:t>Projekt NCN</w:t>
        </w:r>
      </w:hyperlink>
      <w:r w:rsidRPr="005746EE">
        <w:rPr>
          <w:sz w:val="24"/>
          <w:szCs w:val="24"/>
          <w:lang w:val="en-US"/>
        </w:rPr>
        <w:t>).</w:t>
      </w:r>
    </w:p>
    <w:p w:rsidR="00BE4907" w:rsidRPr="005746EE" w:rsidRDefault="00000000">
      <w:pPr>
        <w:spacing w:before="240" w:line="271" w:lineRule="auto"/>
        <w:rPr>
          <w:sz w:val="24"/>
          <w:szCs w:val="24"/>
          <w:lang w:val="en-US"/>
        </w:rPr>
      </w:pPr>
      <w:bookmarkStart w:id="9" w:name="bm_2_3_publikacja_z_2022_roku"/>
      <w:r w:rsidRPr="005746EE">
        <w:rPr>
          <w:b/>
          <w:sz w:val="24"/>
          <w:szCs w:val="24"/>
          <w:lang w:val="en-US"/>
        </w:rPr>
        <w:t xml:space="preserve">2.3. </w:t>
      </w:r>
      <w:proofErr w:type="spellStart"/>
      <w:r w:rsidRPr="005746EE">
        <w:rPr>
          <w:b/>
          <w:sz w:val="24"/>
          <w:szCs w:val="24"/>
          <w:lang w:val="en-US"/>
        </w:rPr>
        <w:t>Publikacja</w:t>
      </w:r>
      <w:proofErr w:type="spellEnd"/>
      <w:r w:rsidRPr="005746EE">
        <w:rPr>
          <w:b/>
          <w:sz w:val="24"/>
          <w:szCs w:val="24"/>
          <w:lang w:val="en-US"/>
        </w:rPr>
        <w:t xml:space="preserve"> z 2022 </w:t>
      </w:r>
      <w:proofErr w:type="spellStart"/>
      <w:r w:rsidRPr="005746EE">
        <w:rPr>
          <w:b/>
          <w:sz w:val="24"/>
          <w:szCs w:val="24"/>
          <w:lang w:val="en-US"/>
        </w:rPr>
        <w:t>roku</w:t>
      </w:r>
      <w:bookmarkEnd w:id="9"/>
      <w:proofErr w:type="spellEnd"/>
    </w:p>
    <w:p w:rsidR="00BE4907" w:rsidRPr="005746EE" w:rsidRDefault="00000000">
      <w:pPr>
        <w:spacing w:after="210"/>
        <w:rPr>
          <w:sz w:val="24"/>
          <w:szCs w:val="24"/>
          <w:lang w:val="en-US"/>
        </w:rPr>
      </w:pPr>
      <w:proofErr w:type="spellStart"/>
      <w:r w:rsidRPr="005746EE">
        <w:rPr>
          <w:b/>
          <w:sz w:val="24"/>
          <w:szCs w:val="24"/>
          <w:lang w:val="en-US"/>
        </w:rPr>
        <w:lastRenderedPageBreak/>
        <w:t>Tytu</w:t>
      </w:r>
      <w:r w:rsidRPr="005746EE">
        <w:rPr>
          <w:b/>
          <w:sz w:val="24"/>
          <w:szCs w:val="24"/>
          <w:lang w:val="en-US"/>
        </w:rPr>
        <w:t>ł</w:t>
      </w:r>
      <w:proofErr w:type="spellEnd"/>
      <w:r w:rsidRPr="005746EE">
        <w:rPr>
          <w:b/>
          <w:sz w:val="24"/>
          <w:szCs w:val="24"/>
          <w:lang w:val="en-US"/>
        </w:rPr>
        <w:t>:</w:t>
      </w:r>
      <w:r w:rsidRPr="005746EE">
        <w:rPr>
          <w:sz w:val="24"/>
          <w:szCs w:val="24"/>
          <w:lang w:val="en-US"/>
        </w:rPr>
        <w:t xml:space="preserve"> </w:t>
      </w:r>
      <w:r w:rsidRPr="005746EE">
        <w:rPr>
          <w:i/>
          <w:sz w:val="24"/>
          <w:szCs w:val="24"/>
          <w:lang w:val="en-US"/>
        </w:rPr>
        <w:t>Landscape genetics reveals contrasting patterns of connectivity in two newt species (</w:t>
      </w:r>
      <w:proofErr w:type="spellStart"/>
      <w:r w:rsidRPr="005746EE">
        <w:rPr>
          <w:i/>
          <w:sz w:val="24"/>
          <w:szCs w:val="24"/>
          <w:lang w:val="en-US"/>
        </w:rPr>
        <w:t>Lissotriton</w:t>
      </w:r>
      <w:proofErr w:type="spellEnd"/>
      <w:r w:rsidRPr="005746EE">
        <w:rPr>
          <w:i/>
          <w:sz w:val="24"/>
          <w:szCs w:val="24"/>
          <w:lang w:val="en-US"/>
        </w:rPr>
        <w:t xml:space="preserve"> </w:t>
      </w:r>
      <w:proofErr w:type="spellStart"/>
      <w:r w:rsidRPr="005746EE">
        <w:rPr>
          <w:i/>
          <w:sz w:val="24"/>
          <w:szCs w:val="24"/>
          <w:lang w:val="en-US"/>
        </w:rPr>
        <w:t>montandoni</w:t>
      </w:r>
      <w:proofErr w:type="spellEnd"/>
      <w:r w:rsidRPr="005746EE">
        <w:rPr>
          <w:i/>
          <w:sz w:val="24"/>
          <w:szCs w:val="24"/>
          <w:lang w:val="en-US"/>
        </w:rPr>
        <w:t xml:space="preserve"> and L. vulgaris)</w:t>
      </w:r>
      <w:r w:rsidRPr="005746EE">
        <w:rPr>
          <w:sz w:val="24"/>
          <w:szCs w:val="24"/>
          <w:lang w:val="en-US"/>
        </w:rPr>
        <w:br/>
      </w:r>
      <w:proofErr w:type="spellStart"/>
      <w:r w:rsidRPr="005746EE">
        <w:rPr>
          <w:b/>
          <w:sz w:val="24"/>
          <w:szCs w:val="24"/>
          <w:lang w:val="en-US"/>
        </w:rPr>
        <w:t>Ź</w:t>
      </w:r>
      <w:r w:rsidRPr="005746EE">
        <w:rPr>
          <w:b/>
          <w:sz w:val="24"/>
          <w:szCs w:val="24"/>
          <w:lang w:val="en-US"/>
        </w:rPr>
        <w:t>r</w:t>
      </w:r>
      <w:r w:rsidRPr="005746EE">
        <w:rPr>
          <w:b/>
          <w:sz w:val="24"/>
          <w:szCs w:val="24"/>
          <w:lang w:val="en-US"/>
        </w:rPr>
        <w:t>ó</w:t>
      </w:r>
      <w:r w:rsidRPr="005746EE">
        <w:rPr>
          <w:b/>
          <w:sz w:val="24"/>
          <w:szCs w:val="24"/>
          <w:lang w:val="en-US"/>
        </w:rPr>
        <w:t>d</w:t>
      </w:r>
      <w:r w:rsidRPr="005746EE">
        <w:rPr>
          <w:b/>
          <w:sz w:val="24"/>
          <w:szCs w:val="24"/>
          <w:lang w:val="en-US"/>
        </w:rPr>
        <w:t>ł</w:t>
      </w:r>
      <w:r w:rsidRPr="005746EE">
        <w:rPr>
          <w:b/>
          <w:sz w:val="24"/>
          <w:szCs w:val="24"/>
          <w:lang w:val="en-US"/>
        </w:rPr>
        <w:t>o</w:t>
      </w:r>
      <w:proofErr w:type="spellEnd"/>
      <w:r w:rsidRPr="005746EE">
        <w:rPr>
          <w:b/>
          <w:sz w:val="24"/>
          <w:szCs w:val="24"/>
          <w:lang w:val="en-US"/>
        </w:rPr>
        <w:t>:</w:t>
      </w:r>
      <w:r w:rsidRPr="005746EE">
        <w:rPr>
          <w:sz w:val="24"/>
          <w:szCs w:val="24"/>
          <w:lang w:val="en-US"/>
        </w:rPr>
        <w:t xml:space="preserve"> </w:t>
      </w:r>
      <w:hyperlink r:id="rId17">
        <w:r w:rsidRPr="005746EE">
          <w:rPr>
            <w:color w:val="4472C4"/>
            <w:sz w:val="24"/>
            <w:szCs w:val="24"/>
            <w:lang w:val="en-US"/>
          </w:rPr>
          <w:t>Molecular Ecology</w:t>
        </w:r>
      </w:hyperlink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b/>
          <w:sz w:val="24"/>
          <w:szCs w:val="24"/>
        </w:rPr>
        <w:t>Afiliacja dr. Liany:</w:t>
      </w:r>
      <w:r w:rsidRPr="005746EE">
        <w:rPr>
          <w:rFonts w:eastAsia="Georgia" w:hAnsi="Georgia" w:cs="Georgia"/>
          <w:sz w:val="24"/>
          <w:szCs w:val="24"/>
        </w:rPr>
        <w:t xml:space="preserve"> Kraków, Poland.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W porównaniu z wcześniejszymi publikacjami afiliacja uległa dalszemu „skurczeniu" — ogranicza się jedynie do nazwy miasta, bez jakiegokolwiek wskazania miejsca zatrudnienia. Taka afiliacja nie identyfikuje zakładu pracy dr. Liany i rodzi uzasadnione podejrzenie świadomego ukrywania jego związku z NCN.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10" w:name="bm_2_4_ocena_sytuacji"/>
      <w:r w:rsidRPr="005746EE">
        <w:rPr>
          <w:b/>
          <w:sz w:val="24"/>
          <w:szCs w:val="24"/>
        </w:rPr>
        <w:t>2.4. Ocena sytuacji</w:t>
      </w:r>
      <w:bookmarkEnd w:id="10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Ewolucja afiliacji dr. Liany w kolejnych publikacjach prof. Babika — od fikcyjnej afiliacji z Instytutem Zoologii UJ (2015), przez adres obiektu handlowego (2018), po samą nazwę miasta (2022) — wskazuje na świadome działania mające na celu ukrycie prawdziwego miejsca zatrudnienia dr. Liany w NCN.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Jeśli współautorstwo dr. Liany w publikacjach prof. Babika stanowiło formę odwzajemnienia za przychylność przy uzyskiwaniu grantów z NCN, sytuacja taka spełnia znamiona korupcji na najwyższych szczeblach władzy NCN. Jest to o tyle niepokojące, że przez co najmniej 5 lat sytuacja ta nie została wykryta ani przez ówczesnego dyrektora NCN dr. Błockiego, ani przez obecnego dyrektora dr. Krzysztofa Jóźwiaka.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Brak mechanizmów wewnętrznej kontroli — takich jak automatyczne skanowanie nowych publikacji pod kątem powiązań personalnych z pracownikami NCN — lub celowe zaniedbanie ze strony dyrekcji NCN sugeruje możliwość występowania mechanizmów systemowej korupcji w kręgach kierownictwa NCN.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O powyższych nieprawidłowościach zostaną powiadomione odpowiednie czasopisma naukowe, organy państwa (CBA, prokuratura), obecne władze NCN oraz władze Uniwersytetu Jagiellońskiego.</w:t>
      </w:r>
    </w:p>
    <w:p w:rsidR="00BE4907" w:rsidRPr="005746EE" w:rsidRDefault="005746EE">
      <w:pPr>
        <w:rPr>
          <w:sz w:val="24"/>
          <w:szCs w:val="24"/>
        </w:rPr>
      </w:pPr>
      <w:r w:rsidRPr="005746EE">
        <w:rPr>
          <w:noProof/>
          <w:sz w:val="24"/>
          <w:szCs w:val="24"/>
        </w:rPr>
      </w:r>
      <w:r w:rsidR="005746EE" w:rsidRPr="005746EE">
        <w:rPr>
          <w:noProof/>
          <w:sz w:val="24"/>
          <w:szCs w:val="24"/>
        </w:rPr>
        <w:pict>
          <v:rect id="_x0000_i1027" alt="" style="width:434.5pt;height:.05pt;mso-width-percent:0;mso-height-percent:0;mso-width-percent:0;mso-height-percent:0" o:hralign="center" o:hrstd="t" o:hr="t"/>
        </w:pic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11" w:name="bm_3_nieprawidłowości_w_przyznawa_ba87f2"/>
      <w:r w:rsidRPr="005746EE">
        <w:rPr>
          <w:rFonts w:eastAsia="Georgia" w:hAnsi="Georgia" w:cs="Georgia"/>
          <w:b/>
          <w:sz w:val="24"/>
          <w:szCs w:val="24"/>
        </w:rPr>
        <w:t>3. Nieprawidłowości w przyznawaniu grantów z odwołania przez NCN</w:t>
      </w:r>
      <w:bookmarkEnd w:id="11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W NCN odwołania od decyzji o przyznaniu grantu są dopuszczalne wyłącznie w sprawach formalnych, tj. dotyczących pierwszego, technicznego etapu oceny wniosku. Nie istnieje możliwość odwołania od oceny merytorycznej — od recenzji ekspertów ani od późniejszej decyzji Zespołu Ekspertów.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Grant odrzucony po ocenie merytorycznej może zostać przyznany wyłącznie w wyniku odwołania od uchybień formalnych, zaistniałych na etapie między wysłaniem wniosku do recenzji a ogłoszeniem wyników. Na tym etapie prawdopodobieństwo popełnienia błędu formalnego przez NCN jest statystycznie minimalne.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lastRenderedPageBreak/>
        <w:t>Nazwiska beneficjentów grantów przyznanych z odwołania nie figurują na listach konkretnych konkursów, lecz są publikowane na odrębnej, zbiorczej liście. Do 2024 roku lista ta nie zawierała informacji o nazwie konkursu ani dacie przyznania, co uniemożliwiało identyfikację beneficjentów i ich porównanie z oficjalną listą zaakceptowanych i odrzuconych wniosków.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12" w:name="bm_3_0_dane_statystyczne_granty_p_de6e85"/>
      <w:r w:rsidRPr="005746EE">
        <w:rPr>
          <w:rFonts w:eastAsia="Georgia" w:hAnsi="Georgia" w:cs="Georgia"/>
          <w:b/>
          <w:sz w:val="24"/>
          <w:szCs w:val="24"/>
        </w:rPr>
        <w:t>3.0. Dane statystyczne: granty przyznane z odwołania (2010–2025)</w:t>
      </w:r>
      <w:bookmarkEnd w:id="12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Dzięki analizie archiwów internetowych (Web Archive) można odtworzyć dynamikę przyznawania grantów z odwołania w poszczególnych latach: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267"/>
        <w:gridCol w:w="2352"/>
        <w:gridCol w:w="2635"/>
        <w:gridCol w:w="2430"/>
      </w:tblGrid>
      <w:tr w:rsidR="00BE4907" w:rsidRPr="005746E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Rok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rFonts w:eastAsia="Georgia" w:hAnsi="Georgia" w:cs="Georgia"/>
                <w:sz w:val="24"/>
                <w:szCs w:val="24"/>
              </w:rPr>
              <w:t>Liczba grantów z odwołania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Skumulowana liczba od 2010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rFonts w:eastAsia="Georgia" w:hAnsi="Georgia" w:cs="Georgia"/>
                <w:sz w:val="24"/>
                <w:szCs w:val="24"/>
              </w:rPr>
              <w:t>Źródło</w:t>
            </w:r>
          </w:p>
        </w:tc>
      </w:tr>
      <w:tr w:rsidR="00BE4907" w:rsidRPr="005746E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rFonts w:eastAsia="Georgia" w:hAnsi="Georgia" w:cs="Georgia"/>
                <w:sz w:val="24"/>
                <w:szCs w:val="24"/>
              </w:rPr>
              <w:t>2010–2017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rFonts w:eastAsia="Georgia" w:hAnsi="Georgia" w:cs="Georgia"/>
                <w:sz w:val="24"/>
                <w:szCs w:val="24"/>
              </w:rPr>
              <w:t>śr. 10 rocznie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73 (stan na koniec 2018)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hyperlink r:id="rId18">
              <w:proofErr w:type="spellStart"/>
              <w:r w:rsidRPr="005746EE">
                <w:rPr>
                  <w:color w:val="4472C4"/>
                  <w:sz w:val="24"/>
                  <w:szCs w:val="24"/>
                </w:rPr>
                <w:t>WebArchive</w:t>
              </w:r>
              <w:proofErr w:type="spellEnd"/>
              <w:r w:rsidRPr="005746EE">
                <w:rPr>
                  <w:color w:val="4472C4"/>
                  <w:sz w:val="24"/>
                  <w:szCs w:val="24"/>
                </w:rPr>
                <w:t xml:space="preserve"> 2018</w:t>
              </w:r>
            </w:hyperlink>
          </w:p>
        </w:tc>
      </w:tr>
      <w:tr w:rsidR="00BE4907" w:rsidRPr="005746E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hyperlink r:id="rId19">
              <w:proofErr w:type="spellStart"/>
              <w:r w:rsidRPr="005746EE">
                <w:rPr>
                  <w:color w:val="4472C4"/>
                  <w:sz w:val="24"/>
                  <w:szCs w:val="24"/>
                </w:rPr>
                <w:t>WebArchive</w:t>
              </w:r>
              <w:proofErr w:type="spellEnd"/>
              <w:r w:rsidRPr="005746EE">
                <w:rPr>
                  <w:color w:val="4472C4"/>
                  <w:sz w:val="24"/>
                  <w:szCs w:val="24"/>
                </w:rPr>
                <w:t xml:space="preserve"> 2019</w:t>
              </w:r>
            </w:hyperlink>
          </w:p>
        </w:tc>
      </w:tr>
      <w:tr w:rsidR="00BE4907" w:rsidRPr="005746E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hyperlink r:id="rId20">
              <w:proofErr w:type="spellStart"/>
              <w:r w:rsidRPr="005746EE">
                <w:rPr>
                  <w:color w:val="4472C4"/>
                  <w:sz w:val="24"/>
                  <w:szCs w:val="24"/>
                </w:rPr>
                <w:t>WebArchive</w:t>
              </w:r>
              <w:proofErr w:type="spellEnd"/>
              <w:r w:rsidRPr="005746EE">
                <w:rPr>
                  <w:color w:val="4472C4"/>
                  <w:sz w:val="24"/>
                  <w:szCs w:val="24"/>
                </w:rPr>
                <w:t xml:space="preserve"> 2020</w:t>
              </w:r>
            </w:hyperlink>
          </w:p>
        </w:tc>
      </w:tr>
      <w:tr w:rsidR="00BE4907" w:rsidRPr="005746E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hyperlink r:id="rId21">
              <w:proofErr w:type="spellStart"/>
              <w:r w:rsidRPr="005746EE">
                <w:rPr>
                  <w:color w:val="4472C4"/>
                  <w:sz w:val="24"/>
                  <w:szCs w:val="24"/>
                </w:rPr>
                <w:t>WebArchive</w:t>
              </w:r>
              <w:proofErr w:type="spellEnd"/>
              <w:r w:rsidRPr="005746EE">
                <w:rPr>
                  <w:color w:val="4472C4"/>
                  <w:sz w:val="24"/>
                  <w:szCs w:val="24"/>
                </w:rPr>
                <w:t xml:space="preserve"> 2021</w:t>
              </w:r>
            </w:hyperlink>
          </w:p>
        </w:tc>
      </w:tr>
      <w:tr w:rsidR="00BE4907" w:rsidRPr="005746E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hyperlink r:id="rId22">
              <w:proofErr w:type="spellStart"/>
              <w:r w:rsidRPr="005746EE">
                <w:rPr>
                  <w:color w:val="4472C4"/>
                  <w:sz w:val="24"/>
                  <w:szCs w:val="24"/>
                </w:rPr>
                <w:t>WebArchive</w:t>
              </w:r>
              <w:proofErr w:type="spellEnd"/>
              <w:r w:rsidRPr="005746EE">
                <w:rPr>
                  <w:color w:val="4472C4"/>
                  <w:sz w:val="24"/>
                  <w:szCs w:val="24"/>
                </w:rPr>
                <w:t xml:space="preserve"> 2022</w:t>
              </w:r>
            </w:hyperlink>
          </w:p>
        </w:tc>
      </w:tr>
      <w:tr w:rsidR="00BE4907" w:rsidRPr="005746E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115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hyperlink r:id="rId23">
              <w:proofErr w:type="spellStart"/>
              <w:r w:rsidRPr="005746EE">
                <w:rPr>
                  <w:color w:val="4472C4"/>
                  <w:sz w:val="24"/>
                  <w:szCs w:val="24"/>
                </w:rPr>
                <w:t>WebArchive</w:t>
              </w:r>
              <w:proofErr w:type="spellEnd"/>
              <w:r w:rsidRPr="005746EE">
                <w:rPr>
                  <w:color w:val="4472C4"/>
                  <w:sz w:val="24"/>
                  <w:szCs w:val="24"/>
                </w:rPr>
                <w:t xml:space="preserve"> 2023</w:t>
              </w:r>
            </w:hyperlink>
          </w:p>
        </w:tc>
      </w:tr>
      <w:tr w:rsidR="00BE4907" w:rsidRPr="005746E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117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hyperlink r:id="rId24">
              <w:proofErr w:type="spellStart"/>
              <w:r w:rsidRPr="005746EE">
                <w:rPr>
                  <w:color w:val="4472C4"/>
                  <w:sz w:val="24"/>
                  <w:szCs w:val="24"/>
                </w:rPr>
                <w:t>WebArchive</w:t>
              </w:r>
              <w:proofErr w:type="spellEnd"/>
              <w:r w:rsidRPr="005746EE">
                <w:rPr>
                  <w:color w:val="4472C4"/>
                  <w:sz w:val="24"/>
                  <w:szCs w:val="24"/>
                </w:rPr>
                <w:t xml:space="preserve"> 2024</w:t>
              </w:r>
            </w:hyperlink>
          </w:p>
        </w:tc>
      </w:tr>
      <w:tr w:rsidR="00BE4907" w:rsidRPr="005746E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117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hyperlink r:id="rId25">
              <w:r w:rsidRPr="005746EE">
                <w:rPr>
                  <w:color w:val="4472C4"/>
                  <w:sz w:val="24"/>
                  <w:szCs w:val="24"/>
                </w:rPr>
                <w:t>Oficjalna strona NCN 2025</w:t>
              </w:r>
            </w:hyperlink>
          </w:p>
        </w:tc>
      </w:tr>
      <w:tr w:rsidR="00BE4907" w:rsidRPr="005746E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163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4907" w:rsidRPr="005746EE" w:rsidRDefault="00000000">
            <w:pPr>
              <w:rPr>
                <w:sz w:val="24"/>
                <w:szCs w:val="24"/>
              </w:rPr>
            </w:pPr>
            <w:r w:rsidRPr="005746EE">
              <w:rPr>
                <w:sz w:val="24"/>
                <w:szCs w:val="24"/>
              </w:rPr>
              <w:t>Oficjalna strona NCN 2026</w:t>
            </w:r>
          </w:p>
        </w:tc>
      </w:tr>
    </w:tbl>
    <w:p w:rsidR="00BE4907" w:rsidRPr="005746EE" w:rsidRDefault="00BE4907">
      <w:pPr>
        <w:rPr>
          <w:sz w:val="24"/>
          <w:szCs w:val="24"/>
        </w:rPr>
      </w:pP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13" w:name="bm_3_0_1_analiza_statystyczna"/>
      <w:r w:rsidRPr="005746EE">
        <w:rPr>
          <w:b/>
          <w:sz w:val="24"/>
          <w:szCs w:val="24"/>
        </w:rPr>
        <w:t>3.0.1. Analiza statystyczna</w:t>
      </w:r>
      <w:bookmarkEnd w:id="13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Dane ujawniają wyraźne anomalie statystyczne:</w:t>
      </w:r>
    </w:p>
    <w:p w:rsidR="00BE4907" w:rsidRPr="005746EE" w:rsidRDefault="00000000">
      <w:pPr>
        <w:numPr>
          <w:ilvl w:val="0"/>
          <w:numId w:val="2"/>
        </w:numPr>
        <w:rPr>
          <w:sz w:val="24"/>
          <w:szCs w:val="24"/>
        </w:rPr>
      </w:pPr>
      <w:r w:rsidRPr="005746EE">
        <w:rPr>
          <w:sz w:val="24"/>
          <w:szCs w:val="24"/>
        </w:rPr>
        <w:t xml:space="preserve">W </w:t>
      </w:r>
      <w:r w:rsidRPr="005746EE">
        <w:rPr>
          <w:b/>
          <w:sz w:val="24"/>
          <w:szCs w:val="24"/>
        </w:rPr>
        <w:t>latach 2020</w:t>
      </w:r>
      <w:r w:rsidRPr="005746EE">
        <w:rPr>
          <w:b/>
          <w:sz w:val="24"/>
          <w:szCs w:val="24"/>
        </w:rPr>
        <w:t>–</w:t>
      </w:r>
      <w:r w:rsidRPr="005746EE">
        <w:rPr>
          <w:b/>
          <w:sz w:val="24"/>
          <w:szCs w:val="24"/>
        </w:rPr>
        <w:t>2024</w:t>
      </w:r>
      <w:r w:rsidRPr="005746EE">
        <w:rPr>
          <w:rFonts w:eastAsia="Georgia" w:hAnsi="Georgia" w:cs="Georgia"/>
          <w:sz w:val="24"/>
          <w:szCs w:val="24"/>
        </w:rPr>
        <w:t xml:space="preserve"> NCN przyznał łącznie zaledwie </w:t>
      </w:r>
      <w:r w:rsidRPr="005746EE">
        <w:rPr>
          <w:b/>
          <w:sz w:val="24"/>
          <w:szCs w:val="24"/>
        </w:rPr>
        <w:t>4 granty</w:t>
      </w:r>
      <w:r w:rsidRPr="005746EE">
        <w:rPr>
          <w:rFonts w:eastAsia="Georgia" w:hAnsi="Georgia" w:cs="Georgia"/>
          <w:sz w:val="24"/>
          <w:szCs w:val="24"/>
        </w:rPr>
        <w:t xml:space="preserve"> z odwołania (w trzech z pięciu lat: zero).</w:t>
      </w:r>
    </w:p>
    <w:p w:rsidR="00BE4907" w:rsidRPr="005746EE" w:rsidRDefault="00000000">
      <w:pPr>
        <w:numPr>
          <w:ilvl w:val="0"/>
          <w:numId w:val="2"/>
        </w:numPr>
        <w:rPr>
          <w:sz w:val="24"/>
          <w:szCs w:val="24"/>
        </w:rPr>
      </w:pPr>
      <w:r w:rsidRPr="005746EE">
        <w:rPr>
          <w:sz w:val="24"/>
          <w:szCs w:val="24"/>
        </w:rPr>
        <w:t xml:space="preserve">W </w:t>
      </w:r>
      <w:r w:rsidRPr="005746EE">
        <w:rPr>
          <w:b/>
          <w:sz w:val="24"/>
          <w:szCs w:val="24"/>
        </w:rPr>
        <w:t>2025 roku</w:t>
      </w:r>
      <w:r w:rsidRPr="005746EE">
        <w:rPr>
          <w:rFonts w:eastAsia="Georgia" w:hAnsi="Georgia" w:cs="Georgia"/>
          <w:sz w:val="24"/>
          <w:szCs w:val="24"/>
        </w:rPr>
        <w:t xml:space="preserve"> nastąpił nagły wzrost do </w:t>
      </w:r>
      <w:r w:rsidRPr="005746EE">
        <w:rPr>
          <w:b/>
          <w:sz w:val="24"/>
          <w:szCs w:val="24"/>
        </w:rPr>
        <w:t>46 grant</w:t>
      </w:r>
      <w:r w:rsidRPr="005746EE">
        <w:rPr>
          <w:b/>
          <w:sz w:val="24"/>
          <w:szCs w:val="24"/>
        </w:rPr>
        <w:t>ó</w:t>
      </w:r>
      <w:r w:rsidRPr="005746EE">
        <w:rPr>
          <w:b/>
          <w:sz w:val="24"/>
          <w:szCs w:val="24"/>
        </w:rPr>
        <w:t>w</w:t>
      </w:r>
      <w:r w:rsidRPr="005746EE">
        <w:rPr>
          <w:rFonts w:eastAsia="Georgia" w:hAnsi="Georgia" w:cs="Georgia"/>
          <w:sz w:val="24"/>
          <w:szCs w:val="24"/>
        </w:rPr>
        <w:t xml:space="preserve"> — ponad dziesięciokrotnie więcej niż średnia z lat 2020–2024.</w:t>
      </w:r>
    </w:p>
    <w:p w:rsidR="00BE4907" w:rsidRPr="005746EE" w:rsidRDefault="00000000">
      <w:pPr>
        <w:numPr>
          <w:ilvl w:val="0"/>
          <w:numId w:val="2"/>
        </w:numPr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Podobna anomalia wystąpiła w </w:t>
      </w:r>
      <w:r w:rsidRPr="005746EE">
        <w:rPr>
          <w:b/>
          <w:sz w:val="24"/>
          <w:szCs w:val="24"/>
        </w:rPr>
        <w:t>2019 roku</w:t>
      </w:r>
      <w:r w:rsidRPr="005746EE">
        <w:rPr>
          <w:rFonts w:eastAsia="Georgia" w:hAnsi="Georgia" w:cs="Georgia"/>
          <w:sz w:val="24"/>
          <w:szCs w:val="24"/>
        </w:rPr>
        <w:t xml:space="preserve"> (26 grantów), kiedy część środków pochodziła z </w:t>
      </w:r>
      <w:r w:rsidRPr="005746EE">
        <w:rPr>
          <w:b/>
          <w:sz w:val="24"/>
          <w:szCs w:val="24"/>
        </w:rPr>
        <w:t>Funduszy Norweskich (</w:t>
      </w:r>
      <w:proofErr w:type="spellStart"/>
      <w:r w:rsidRPr="005746EE">
        <w:rPr>
          <w:b/>
          <w:sz w:val="24"/>
          <w:szCs w:val="24"/>
        </w:rPr>
        <w:t>Norges</w:t>
      </w:r>
      <w:proofErr w:type="spellEnd"/>
      <w:r w:rsidRPr="005746EE">
        <w:rPr>
          <w:b/>
          <w:sz w:val="24"/>
          <w:szCs w:val="24"/>
        </w:rPr>
        <w:t xml:space="preserve"> </w:t>
      </w:r>
      <w:proofErr w:type="spellStart"/>
      <w:r w:rsidRPr="005746EE">
        <w:rPr>
          <w:b/>
          <w:sz w:val="24"/>
          <w:szCs w:val="24"/>
        </w:rPr>
        <w:t>forskningsr</w:t>
      </w:r>
      <w:r w:rsidRPr="005746EE">
        <w:rPr>
          <w:b/>
          <w:sz w:val="24"/>
          <w:szCs w:val="24"/>
        </w:rPr>
        <w:t>å</w:t>
      </w:r>
      <w:r w:rsidRPr="005746EE">
        <w:rPr>
          <w:b/>
          <w:sz w:val="24"/>
          <w:szCs w:val="24"/>
        </w:rPr>
        <w:t>d</w:t>
      </w:r>
      <w:proofErr w:type="spellEnd"/>
      <w:r w:rsidRPr="005746EE">
        <w:rPr>
          <w:b/>
          <w:sz w:val="24"/>
          <w:szCs w:val="24"/>
        </w:rPr>
        <w:t>)</w:t>
      </w:r>
      <w:r w:rsidRPr="005746EE">
        <w:rPr>
          <w:sz w:val="24"/>
          <w:szCs w:val="24"/>
        </w:rPr>
        <w:t>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Przejście z 0 grantów (2020, 2021, 2024) do 46 grantów (2025) nie da się wyjaśnić naturalną zmiennością losową. Taka skala odchylenia od średniej wskazuje na celową zmianę polityki przyznawania grantów.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14" w:name="bm_3_0_2_zmiana_transparentności_30507d"/>
      <w:r w:rsidRPr="005746EE">
        <w:rPr>
          <w:rFonts w:eastAsia="Georgia" w:hAnsi="Georgia" w:cs="Georgia"/>
          <w:b/>
          <w:sz w:val="24"/>
          <w:szCs w:val="24"/>
        </w:rPr>
        <w:lastRenderedPageBreak/>
        <w:t>3.0.2. Zmiana transparentności strony NCN w 2025 roku</w:t>
      </w:r>
      <w:bookmarkEnd w:id="14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Jednocześnie w 2025 roku NCN zmienił swoją stronę internetową, wprowadzając nową funkcjonalność: użytkownicy mogą od tej pory zobaczyć, ile konkretny naukowiec otrzymał grantów z odwołania oraz z jakiego konkursu. Do 2024 roku włącznie te dwie kluczowe informacje były ukryte, co uniemożliwiało weryfikację procedur i wykrywanie nieprawidłowości.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15" w:name="bm_3_0_3_kontekst_czasowy_zmian"/>
      <w:r w:rsidRPr="005746EE">
        <w:rPr>
          <w:b/>
          <w:sz w:val="24"/>
          <w:szCs w:val="24"/>
        </w:rPr>
        <w:t>3.0.3. Kontekst czasowy zmian</w:t>
      </w:r>
      <w:bookmarkEnd w:id="15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Zmiana w statystykach przyznawania grantów z odwołania nastąpiła w 2020 roku, bezpośrednio po tym, jak autor niniejszego dokumentu zwrócił uwagę na tę kwestię dr. Marcinowi Lianie, ówczesnemu i obecnemu zastępcy dyrektora NCN, podczas spotkania towarzyskiego. Korelacja ta zasługuje na wnikliwe zbadanie.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16" w:name="bm_3_0_4_granty_z_odwołania_dla_m_a3ecde"/>
      <w:r w:rsidRPr="005746EE">
        <w:rPr>
          <w:rFonts w:eastAsia="Georgia" w:hAnsi="Georgia" w:cs="Georgia"/>
          <w:b/>
          <w:sz w:val="24"/>
          <w:szCs w:val="24"/>
        </w:rPr>
        <w:t>3.0.4. Granty z odwołania dla małżonków pracowników NCN</w:t>
      </w:r>
      <w:bookmarkEnd w:id="16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Szczególnie niepokojący jest fakt, że wśród beneficjentów grantów przyznanych z odwołania w latach 2018–2020 znaleźli się małżonkowie ówczesnych Koordynatorów Dyscyplin NCN:</w:t>
      </w:r>
    </w:p>
    <w:p w:rsidR="00BE4907" w:rsidRPr="005746EE" w:rsidRDefault="00000000">
      <w:pPr>
        <w:numPr>
          <w:ilvl w:val="0"/>
          <w:numId w:val="3"/>
        </w:numPr>
        <w:rPr>
          <w:sz w:val="24"/>
          <w:szCs w:val="24"/>
        </w:rPr>
      </w:pPr>
      <w:r w:rsidRPr="005746EE">
        <w:rPr>
          <w:b/>
          <w:sz w:val="24"/>
          <w:szCs w:val="24"/>
        </w:rPr>
        <w:t xml:space="preserve">Dr Maciej </w:t>
      </w:r>
      <w:proofErr w:type="spellStart"/>
      <w:r w:rsidRPr="005746EE">
        <w:rPr>
          <w:b/>
          <w:sz w:val="24"/>
          <w:szCs w:val="24"/>
        </w:rPr>
        <w:t>Sekerdej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— małżonek </w:t>
      </w:r>
      <w:r w:rsidRPr="005746EE">
        <w:rPr>
          <w:b/>
          <w:sz w:val="24"/>
          <w:szCs w:val="24"/>
        </w:rPr>
        <w:t xml:space="preserve">Kingi </w:t>
      </w:r>
      <w:proofErr w:type="spellStart"/>
      <w:r w:rsidRPr="005746EE">
        <w:rPr>
          <w:b/>
          <w:sz w:val="24"/>
          <w:szCs w:val="24"/>
        </w:rPr>
        <w:t>Sekerdej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, Koordynatorki Dyscyplin NCN — uzyskał w </w:t>
      </w:r>
      <w:r w:rsidRPr="005746EE">
        <w:rPr>
          <w:b/>
          <w:sz w:val="24"/>
          <w:szCs w:val="24"/>
        </w:rPr>
        <w:t>2018 roku</w:t>
      </w:r>
      <w:r w:rsidRPr="005746EE">
        <w:rPr>
          <w:rFonts w:eastAsia="Georgia" w:hAnsi="Georgia" w:cs="Georgia"/>
          <w:sz w:val="24"/>
          <w:szCs w:val="24"/>
        </w:rPr>
        <w:t xml:space="preserve"> grant z odwołania w wysokości </w:t>
      </w:r>
      <w:r w:rsidRPr="005746EE">
        <w:rPr>
          <w:b/>
          <w:sz w:val="24"/>
          <w:szCs w:val="24"/>
        </w:rPr>
        <w:t>2 681 700 PLN</w:t>
      </w:r>
      <w:r w:rsidRPr="005746EE">
        <w:rPr>
          <w:sz w:val="24"/>
          <w:szCs w:val="24"/>
        </w:rPr>
        <w:t>.</w:t>
      </w:r>
    </w:p>
    <w:p w:rsidR="00BE4907" w:rsidRPr="005746EE" w:rsidRDefault="00000000">
      <w:pPr>
        <w:numPr>
          <w:ilvl w:val="0"/>
          <w:numId w:val="3"/>
        </w:numPr>
        <w:rPr>
          <w:sz w:val="24"/>
          <w:szCs w:val="24"/>
        </w:rPr>
      </w:pPr>
      <w:r w:rsidRPr="005746EE">
        <w:rPr>
          <w:b/>
          <w:sz w:val="24"/>
          <w:szCs w:val="24"/>
        </w:rPr>
        <w:t>Dr Bart Jacobs</w:t>
      </w:r>
      <w:r w:rsidRPr="005746EE">
        <w:rPr>
          <w:rFonts w:eastAsia="Georgia" w:hAnsi="Georgia" w:cs="Georgia"/>
          <w:sz w:val="24"/>
          <w:szCs w:val="24"/>
        </w:rPr>
        <w:t xml:space="preserve"> — małżonek </w:t>
      </w:r>
      <w:r w:rsidRPr="005746EE">
        <w:rPr>
          <w:b/>
          <w:sz w:val="24"/>
          <w:szCs w:val="24"/>
        </w:rPr>
        <w:t>Ma</w:t>
      </w:r>
      <w:r w:rsidRPr="005746EE">
        <w:rPr>
          <w:b/>
          <w:sz w:val="24"/>
          <w:szCs w:val="24"/>
        </w:rPr>
        <w:t>ł</w:t>
      </w:r>
      <w:r w:rsidRPr="005746EE">
        <w:rPr>
          <w:b/>
          <w:sz w:val="24"/>
          <w:szCs w:val="24"/>
        </w:rPr>
        <w:t>gorzaty Jacobs</w:t>
      </w:r>
      <w:r w:rsidRPr="005746EE">
        <w:rPr>
          <w:rFonts w:eastAsia="Georgia" w:hAnsi="Georgia" w:cs="Georgia"/>
          <w:sz w:val="24"/>
          <w:szCs w:val="24"/>
        </w:rPr>
        <w:t xml:space="preserve">, Koordynatorki Dyscyplin NCN — uzyskał w </w:t>
      </w:r>
      <w:r w:rsidRPr="005746EE">
        <w:rPr>
          <w:b/>
          <w:sz w:val="24"/>
          <w:szCs w:val="24"/>
        </w:rPr>
        <w:t>2020 roku</w:t>
      </w:r>
      <w:r w:rsidRPr="005746EE">
        <w:rPr>
          <w:rFonts w:eastAsia="Georgia" w:hAnsi="Georgia" w:cs="Georgia"/>
          <w:sz w:val="24"/>
          <w:szCs w:val="24"/>
        </w:rPr>
        <w:t xml:space="preserve"> grant z odwołania w wysokości </w:t>
      </w:r>
      <w:r w:rsidRPr="005746EE">
        <w:rPr>
          <w:b/>
          <w:sz w:val="24"/>
          <w:szCs w:val="24"/>
        </w:rPr>
        <w:t>358 886 PLN</w:t>
      </w:r>
      <w:r w:rsidRPr="005746EE">
        <w:rPr>
          <w:sz w:val="24"/>
          <w:szCs w:val="24"/>
        </w:rPr>
        <w:t>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Nazwiska obu beneficjentów nie figurowały na oficjalnych listach konkursów, z których wnioski były składane, ponieważ granty zostały przyznane dopiero z odwołania. Żaden z pozostałych uczestników tych samych konkursów nie miał możliwości zweryfikowania, że małżonkowie Koordynatorów Dyscyplin uzyskali finansowanie tą drogą.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17" w:name="bm_3_0_5_działania_następcze"/>
      <w:r w:rsidRPr="005746EE">
        <w:rPr>
          <w:rFonts w:eastAsia="Georgia" w:hAnsi="Georgia" w:cs="Georgia"/>
          <w:b/>
          <w:sz w:val="24"/>
          <w:szCs w:val="24"/>
        </w:rPr>
        <w:t>3.0.5. Działania następcze</w:t>
      </w:r>
      <w:bookmarkEnd w:id="17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O powyższych nieprawidłowościach zostanie poinformowana </w:t>
      </w:r>
      <w:r w:rsidRPr="005746EE">
        <w:rPr>
          <w:b/>
          <w:sz w:val="24"/>
          <w:szCs w:val="24"/>
        </w:rPr>
        <w:t>Norweska Fundacja na rzecz Bada</w:t>
      </w:r>
      <w:r w:rsidRPr="005746EE">
        <w:rPr>
          <w:b/>
          <w:sz w:val="24"/>
          <w:szCs w:val="24"/>
        </w:rPr>
        <w:t>ń</w:t>
      </w:r>
      <w:r w:rsidRPr="005746EE">
        <w:rPr>
          <w:b/>
          <w:sz w:val="24"/>
          <w:szCs w:val="24"/>
        </w:rPr>
        <w:t xml:space="preserve"> Naukowych (</w:t>
      </w:r>
      <w:proofErr w:type="spellStart"/>
      <w:r w:rsidRPr="005746EE">
        <w:rPr>
          <w:b/>
          <w:sz w:val="24"/>
          <w:szCs w:val="24"/>
        </w:rPr>
        <w:t>Norges</w:t>
      </w:r>
      <w:proofErr w:type="spellEnd"/>
      <w:r w:rsidRPr="005746EE">
        <w:rPr>
          <w:b/>
          <w:sz w:val="24"/>
          <w:szCs w:val="24"/>
        </w:rPr>
        <w:t xml:space="preserve"> </w:t>
      </w:r>
      <w:proofErr w:type="spellStart"/>
      <w:r w:rsidRPr="005746EE">
        <w:rPr>
          <w:b/>
          <w:sz w:val="24"/>
          <w:szCs w:val="24"/>
        </w:rPr>
        <w:t>forskningsr</w:t>
      </w:r>
      <w:r w:rsidRPr="005746EE">
        <w:rPr>
          <w:b/>
          <w:sz w:val="24"/>
          <w:szCs w:val="24"/>
        </w:rPr>
        <w:t>å</w:t>
      </w:r>
      <w:r w:rsidRPr="005746EE">
        <w:rPr>
          <w:b/>
          <w:sz w:val="24"/>
          <w:szCs w:val="24"/>
        </w:rPr>
        <w:t>d</w:t>
      </w:r>
      <w:proofErr w:type="spellEnd"/>
      <w:r w:rsidRPr="005746EE">
        <w:rPr>
          <w:b/>
          <w:sz w:val="24"/>
          <w:szCs w:val="24"/>
        </w:rPr>
        <w:t>)</w:t>
      </w:r>
      <w:r w:rsidRPr="005746EE">
        <w:rPr>
          <w:rFonts w:eastAsia="Georgia" w:hAnsi="Georgia" w:cs="Georgia"/>
          <w:sz w:val="24"/>
          <w:szCs w:val="24"/>
        </w:rPr>
        <w:t xml:space="preserve">, która współfinansowała polską naukę w ramach Funduszy Norweskich i ma prawo do audytu wykorzystania środków oraz kontroli procedur konkursowych. Analiza statystyczna zostanie również przedłożona </w:t>
      </w:r>
      <w:r w:rsidRPr="005746EE">
        <w:rPr>
          <w:b/>
          <w:sz w:val="24"/>
          <w:szCs w:val="24"/>
        </w:rPr>
        <w:t>prokuraturze, Ministerstwu Nauki i Szkolnictwa Wy</w:t>
      </w:r>
      <w:r w:rsidRPr="005746EE">
        <w:rPr>
          <w:b/>
          <w:sz w:val="24"/>
          <w:szCs w:val="24"/>
        </w:rPr>
        <w:t>ż</w:t>
      </w:r>
      <w:r w:rsidRPr="005746EE">
        <w:rPr>
          <w:b/>
          <w:sz w:val="24"/>
          <w:szCs w:val="24"/>
        </w:rPr>
        <w:t>szego oraz Najwy</w:t>
      </w:r>
      <w:r w:rsidRPr="005746EE">
        <w:rPr>
          <w:b/>
          <w:sz w:val="24"/>
          <w:szCs w:val="24"/>
        </w:rPr>
        <w:t>ż</w:t>
      </w:r>
      <w:r w:rsidRPr="005746EE">
        <w:rPr>
          <w:b/>
          <w:sz w:val="24"/>
          <w:szCs w:val="24"/>
        </w:rPr>
        <w:t>szej Izbie Kontroli (NIK)</w:t>
      </w:r>
      <w:r w:rsidRPr="005746EE">
        <w:rPr>
          <w:sz w:val="24"/>
          <w:szCs w:val="24"/>
        </w:rPr>
        <w:t>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18" w:name="bm_3_1_grant_dr_macieja_sekerdeja_8690c7"/>
      <w:r w:rsidRPr="005746EE">
        <w:rPr>
          <w:rFonts w:eastAsia="Georgia" w:hAnsi="Georgia" w:cs="Georgia"/>
          <w:b/>
          <w:sz w:val="24"/>
          <w:szCs w:val="24"/>
        </w:rPr>
        <w:t xml:space="preserve">3.1. Grant dr. Macieja </w:t>
      </w:r>
      <w:proofErr w:type="spellStart"/>
      <w:r w:rsidRPr="005746EE">
        <w:rPr>
          <w:rFonts w:eastAsia="Georgia" w:hAnsi="Georgia" w:cs="Georgia"/>
          <w:b/>
          <w:sz w:val="24"/>
          <w:szCs w:val="24"/>
        </w:rPr>
        <w:t>Sekerdeja</w:t>
      </w:r>
      <w:proofErr w:type="spellEnd"/>
      <w:r w:rsidRPr="005746EE">
        <w:rPr>
          <w:rFonts w:eastAsia="Georgia" w:hAnsi="Georgia" w:cs="Georgia"/>
          <w:b/>
          <w:sz w:val="24"/>
          <w:szCs w:val="24"/>
        </w:rPr>
        <w:t xml:space="preserve"> — największy grant z odwołania w historii NCN</w:t>
      </w:r>
      <w:bookmarkEnd w:id="18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Grant w wysokości 2 681 700 PLN przyznany dr. Maciejowi </w:t>
      </w:r>
      <w:proofErr w:type="spellStart"/>
      <w:r w:rsidRPr="005746EE">
        <w:rPr>
          <w:rFonts w:eastAsia="Georgia" w:hAnsi="Georgia" w:cs="Georgia"/>
          <w:sz w:val="24"/>
          <w:szCs w:val="24"/>
        </w:rPr>
        <w:t>Sekerdejowi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jest </w:t>
      </w:r>
      <w:r w:rsidRPr="005746EE">
        <w:rPr>
          <w:b/>
          <w:sz w:val="24"/>
          <w:szCs w:val="24"/>
        </w:rPr>
        <w:t>najwi</w:t>
      </w:r>
      <w:r w:rsidRPr="005746EE">
        <w:rPr>
          <w:b/>
          <w:sz w:val="24"/>
          <w:szCs w:val="24"/>
        </w:rPr>
        <w:t>ę</w:t>
      </w:r>
      <w:r w:rsidRPr="005746EE">
        <w:rPr>
          <w:b/>
          <w:sz w:val="24"/>
          <w:szCs w:val="24"/>
        </w:rPr>
        <w:t>kszym grantem przyznanym z odwo</w:t>
      </w:r>
      <w:r w:rsidRPr="005746EE">
        <w:rPr>
          <w:b/>
          <w:sz w:val="24"/>
          <w:szCs w:val="24"/>
        </w:rPr>
        <w:t>ł</w:t>
      </w:r>
      <w:r w:rsidRPr="005746EE">
        <w:rPr>
          <w:b/>
          <w:sz w:val="24"/>
          <w:szCs w:val="24"/>
        </w:rPr>
        <w:t>ania w ca</w:t>
      </w:r>
      <w:r w:rsidRPr="005746EE">
        <w:rPr>
          <w:b/>
          <w:sz w:val="24"/>
          <w:szCs w:val="24"/>
        </w:rPr>
        <w:t>ł</w:t>
      </w:r>
      <w:r w:rsidRPr="005746EE">
        <w:rPr>
          <w:b/>
          <w:sz w:val="24"/>
          <w:szCs w:val="24"/>
        </w:rPr>
        <w:t>ej 15-letniej historii dzia</w:t>
      </w:r>
      <w:r w:rsidRPr="005746EE">
        <w:rPr>
          <w:b/>
          <w:sz w:val="24"/>
          <w:szCs w:val="24"/>
        </w:rPr>
        <w:t>ł</w:t>
      </w:r>
      <w:r w:rsidRPr="005746EE">
        <w:rPr>
          <w:b/>
          <w:sz w:val="24"/>
          <w:szCs w:val="24"/>
        </w:rPr>
        <w:t>alno</w:t>
      </w:r>
      <w:r w:rsidRPr="005746EE">
        <w:rPr>
          <w:b/>
          <w:sz w:val="24"/>
          <w:szCs w:val="24"/>
        </w:rPr>
        <w:t>ś</w:t>
      </w:r>
      <w:r w:rsidRPr="005746EE">
        <w:rPr>
          <w:b/>
          <w:sz w:val="24"/>
          <w:szCs w:val="24"/>
        </w:rPr>
        <w:t>ci NCN</w:t>
      </w:r>
      <w:r w:rsidRPr="005746EE">
        <w:rPr>
          <w:sz w:val="24"/>
          <w:szCs w:val="24"/>
        </w:rPr>
        <w:t>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19" w:name="bm_3_2_realizacja_grantu_6_lat_za_81bdcc"/>
      <w:r w:rsidRPr="005746EE">
        <w:rPr>
          <w:b/>
          <w:sz w:val="24"/>
          <w:szCs w:val="24"/>
        </w:rPr>
        <w:lastRenderedPageBreak/>
        <w:t>3.2. Realizacja grantu: 6 lat zamiast planowanych 5</w:t>
      </w:r>
      <w:bookmarkEnd w:id="19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Grant trafił do Wydziału Filozofii UJ w Krakowie na projekt: </w:t>
      </w:r>
      <w:r w:rsidRPr="005746EE">
        <w:rPr>
          <w:i/>
          <w:sz w:val="24"/>
          <w:szCs w:val="24"/>
        </w:rPr>
        <w:t>„</w:t>
      </w:r>
      <w:r w:rsidRPr="005746EE">
        <w:rPr>
          <w:i/>
          <w:sz w:val="24"/>
          <w:szCs w:val="24"/>
        </w:rPr>
        <w:t>Mi</w:t>
      </w:r>
      <w:r w:rsidRPr="005746EE">
        <w:rPr>
          <w:i/>
          <w:sz w:val="24"/>
          <w:szCs w:val="24"/>
        </w:rPr>
        <w:t>ę</w:t>
      </w:r>
      <w:r w:rsidRPr="005746EE">
        <w:rPr>
          <w:i/>
          <w:sz w:val="24"/>
          <w:szCs w:val="24"/>
        </w:rPr>
        <w:t>dzy nacjonalizmem i kosmopolityzmem: percepcyjne i motywacyjne czynniki kszta</w:t>
      </w:r>
      <w:r w:rsidRPr="005746EE">
        <w:rPr>
          <w:i/>
          <w:sz w:val="24"/>
          <w:szCs w:val="24"/>
        </w:rPr>
        <w:t>ł</w:t>
      </w:r>
      <w:r w:rsidRPr="005746EE">
        <w:rPr>
          <w:i/>
          <w:sz w:val="24"/>
          <w:szCs w:val="24"/>
        </w:rPr>
        <w:t>tuj</w:t>
      </w:r>
      <w:r w:rsidRPr="005746EE">
        <w:rPr>
          <w:i/>
          <w:sz w:val="24"/>
          <w:szCs w:val="24"/>
        </w:rPr>
        <w:t>ą</w:t>
      </w:r>
      <w:r w:rsidRPr="005746EE">
        <w:rPr>
          <w:i/>
          <w:sz w:val="24"/>
          <w:szCs w:val="24"/>
        </w:rPr>
        <w:t>ce konstruktywny patriotyzm"</w:t>
      </w:r>
      <w:r w:rsidRPr="005746EE">
        <w:rPr>
          <w:rFonts w:eastAsia="Georgia" w:hAnsi="Georgia" w:cs="Georgia"/>
          <w:sz w:val="24"/>
          <w:szCs w:val="24"/>
        </w:rPr>
        <w:t xml:space="preserve">. Planowany okres realizacji wynosił 5 lat, jednak dr </w:t>
      </w:r>
      <w:proofErr w:type="spellStart"/>
      <w:r w:rsidRPr="005746EE">
        <w:rPr>
          <w:rFonts w:eastAsia="Georgia" w:hAnsi="Georgia" w:cs="Georgia"/>
          <w:sz w:val="24"/>
          <w:szCs w:val="24"/>
        </w:rPr>
        <w:t>Sekerdej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zakończył go w 6 lat (01.10.2018–30.09.2024).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20" w:name="bm_3_3_nieprawidłowości_przy_rozl_b2b2f9"/>
      <w:r w:rsidRPr="005746EE">
        <w:rPr>
          <w:rFonts w:eastAsia="Georgia" w:hAnsi="Georgia" w:cs="Georgia"/>
          <w:b/>
          <w:sz w:val="24"/>
          <w:szCs w:val="24"/>
        </w:rPr>
        <w:t>3.3. Nieprawidłowości przy rozliczeniu grantu</w:t>
      </w:r>
      <w:bookmarkEnd w:id="20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Grant rozliczono na podstawie 11 publikacji w czasopismach naukowych. Jednak NCN zaakceptował raport końcowy zawierający jedynie 7 publikacji z dostępnymi linkami DOI — </w:t>
      </w:r>
      <w:r w:rsidRPr="005746EE">
        <w:rPr>
          <w:b/>
          <w:sz w:val="24"/>
          <w:szCs w:val="24"/>
        </w:rPr>
        <w:t>4 pozosta</w:t>
      </w:r>
      <w:r w:rsidRPr="005746EE">
        <w:rPr>
          <w:b/>
          <w:sz w:val="24"/>
          <w:szCs w:val="24"/>
        </w:rPr>
        <w:t>ł</w:t>
      </w:r>
      <w:r w:rsidRPr="005746EE">
        <w:rPr>
          <w:b/>
          <w:sz w:val="24"/>
          <w:szCs w:val="24"/>
        </w:rPr>
        <w:t>e publikacje nie by</w:t>
      </w:r>
      <w:r w:rsidRPr="005746EE">
        <w:rPr>
          <w:b/>
          <w:sz w:val="24"/>
          <w:szCs w:val="24"/>
        </w:rPr>
        <w:t>ł</w:t>
      </w:r>
      <w:r w:rsidRPr="005746EE">
        <w:rPr>
          <w:b/>
          <w:sz w:val="24"/>
          <w:szCs w:val="24"/>
        </w:rPr>
        <w:t>y jeszcze opublikowane w momencie rozliczenia</w:t>
      </w:r>
      <w:r w:rsidRPr="005746EE">
        <w:rPr>
          <w:rFonts w:eastAsia="Georgia" w:hAnsi="Georgia" w:cs="Georgia"/>
          <w:sz w:val="24"/>
          <w:szCs w:val="24"/>
        </w:rPr>
        <w:t>, a jedna z nich nie ukazała się do dnia dzisiejszego. Zatwierdzenie grantu na podstawie nieopublikowanych prac stanowi naruszenie procedur rozliczeniowych NCN.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21" w:name="bm_3_4_brak_oryginalnego_wkładu_n_671984"/>
      <w:r w:rsidRPr="005746EE">
        <w:rPr>
          <w:rFonts w:eastAsia="Georgia" w:hAnsi="Georgia" w:cs="Georgia"/>
          <w:b/>
          <w:sz w:val="24"/>
          <w:szCs w:val="24"/>
        </w:rPr>
        <w:t>3.4. Brak oryginalnego wkładu naukowego</w:t>
      </w:r>
      <w:bookmarkEnd w:id="21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Spośród 11 zgłoszonych publikacji dr </w:t>
      </w:r>
      <w:proofErr w:type="spellStart"/>
      <w:r w:rsidRPr="005746EE">
        <w:rPr>
          <w:rFonts w:eastAsia="Georgia" w:hAnsi="Georgia" w:cs="Georgia"/>
          <w:sz w:val="24"/>
          <w:szCs w:val="24"/>
        </w:rPr>
        <w:t>Sekerdej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jest głównym autorem jedynie 2, a autorem korespondencyjnym — 3. Oznacza to, że głównym wykonawcą i pomysłodawcą większości prac był ktoś inny, co jest niezgodne z międzynarodowymi zasadami autorstwa w publikacjach naukowych (zob. </w:t>
      </w:r>
      <w:hyperlink r:id="rId26">
        <w:r w:rsidRPr="005746EE">
          <w:rPr>
            <w:color w:val="4472C4"/>
            <w:sz w:val="24"/>
            <w:szCs w:val="24"/>
          </w:rPr>
          <w:t xml:space="preserve">ICMJE </w:t>
        </w:r>
        <w:proofErr w:type="spellStart"/>
        <w:r w:rsidRPr="005746EE">
          <w:rPr>
            <w:color w:val="4472C4"/>
            <w:sz w:val="24"/>
            <w:szCs w:val="24"/>
          </w:rPr>
          <w:t>Guidelines</w:t>
        </w:r>
        <w:proofErr w:type="spellEnd"/>
      </w:hyperlink>
      <w:r w:rsidRPr="005746EE">
        <w:rPr>
          <w:sz w:val="24"/>
          <w:szCs w:val="24"/>
        </w:rPr>
        <w:t>).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22" w:name="bm_3_5_naruszenie_polityki_open_a_c5e1a0"/>
      <w:r w:rsidRPr="005746EE">
        <w:rPr>
          <w:b/>
          <w:sz w:val="24"/>
          <w:szCs w:val="24"/>
        </w:rPr>
        <w:t>3.5. Naruszenie polityki Open Access NCN</w:t>
      </w:r>
      <w:bookmarkEnd w:id="22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Spośród 10 opublikowanych prac jedynie 2 ukazały się w czasopismach Open Access. Jest to sprzeczne z polityką otwartego publikowania NCN, zgodnie z którą od 1 stycznia 2021 roku publikacje nieopublikowane w trybie otwartego dostępu nie powinny być uwzględniane w raportach rozliczeniowych.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23" w:name="bm_3_6_brak_ujawnienia_konfliktu_f73991"/>
      <w:r w:rsidRPr="005746EE">
        <w:rPr>
          <w:rFonts w:eastAsia="Georgia" w:hAnsi="Georgia" w:cs="Georgia"/>
          <w:b/>
          <w:sz w:val="24"/>
          <w:szCs w:val="24"/>
        </w:rPr>
        <w:t>3.6. Brak ujawnienia konfliktu interesów</w:t>
      </w:r>
      <w:bookmarkEnd w:id="23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Na stronie internetowej NCN brak informacji o tym, że małżonka dr. </w:t>
      </w:r>
      <w:proofErr w:type="spellStart"/>
      <w:r w:rsidRPr="005746EE">
        <w:rPr>
          <w:rFonts w:eastAsia="Georgia" w:hAnsi="Georgia" w:cs="Georgia"/>
          <w:sz w:val="24"/>
          <w:szCs w:val="24"/>
        </w:rPr>
        <w:t>Sekerdeja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— Kinga </w:t>
      </w:r>
      <w:proofErr w:type="spellStart"/>
      <w:r w:rsidRPr="005746EE">
        <w:rPr>
          <w:rFonts w:eastAsia="Georgia" w:hAnsi="Georgia" w:cs="Georgia"/>
          <w:sz w:val="24"/>
          <w:szCs w:val="24"/>
        </w:rPr>
        <w:t>Sekerdej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— pełniła funkcję Koordynatora Dyscyplin NCN, tj. funkcję wprost określoną w ustawie o NCN. Stanowi to naruszenie zasad transparentności.</w: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24" w:name="bm_3_7_brak_informacji_o_procedur_e7cb1c"/>
      <w:r w:rsidRPr="005746EE">
        <w:rPr>
          <w:rFonts w:eastAsia="Georgia" w:hAnsi="Georgia" w:cs="Georgia"/>
          <w:b/>
          <w:sz w:val="24"/>
          <w:szCs w:val="24"/>
        </w:rPr>
        <w:t>3.7. Brak informacji o procedurze odwoławczej</w:t>
      </w:r>
      <w:bookmarkEnd w:id="24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 xml:space="preserve">Nie zostały upublicznione informacje o tym, jakie nieprawidłowości formalne legły u podstaw </w:t>
      </w:r>
      <w:proofErr w:type="gramStart"/>
      <w:r w:rsidRPr="005746EE">
        <w:rPr>
          <w:rFonts w:eastAsia="Georgia" w:hAnsi="Georgia" w:cs="Georgia"/>
          <w:sz w:val="24"/>
          <w:szCs w:val="24"/>
        </w:rPr>
        <w:t>odwołania,</w:t>
      </w:r>
      <w:proofErr w:type="gramEnd"/>
      <w:r w:rsidRPr="005746EE">
        <w:rPr>
          <w:rFonts w:eastAsia="Georgia" w:hAnsi="Georgia" w:cs="Georgia"/>
          <w:sz w:val="24"/>
          <w:szCs w:val="24"/>
        </w:rPr>
        <w:t xml:space="preserve"> ani w jaki sposób procedowano wniosek odwoławczy małżonka Koordynatorki Dyscyplin. Dyrektor NCN Zbigniew Błocki, wicedyrektor Marcin Liana ani szefowa Działu Kontroli NCN nie sporządzili — bądź nie ujawnili — notatki służbowej dokumentującej decyzję o przyznaniu grantu o wartości 2,7 mln PLN taką metodą, w sytuacji oczywistego konfliktu interesów.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Prokuratura Kraków-</w:t>
      </w:r>
      <w:proofErr w:type="spellStart"/>
      <w:r w:rsidRPr="005746EE">
        <w:rPr>
          <w:rFonts w:eastAsia="Georgia" w:hAnsi="Georgia" w:cs="Georgia"/>
          <w:sz w:val="24"/>
          <w:szCs w:val="24"/>
        </w:rPr>
        <w:t>Krowodrza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(prok. </w:t>
      </w:r>
      <w:proofErr w:type="spellStart"/>
      <w:r w:rsidRPr="005746EE">
        <w:rPr>
          <w:rFonts w:eastAsia="Georgia" w:hAnsi="Georgia" w:cs="Georgia"/>
          <w:sz w:val="24"/>
          <w:szCs w:val="24"/>
        </w:rPr>
        <w:t>Ochońska</w:t>
      </w:r>
      <w:proofErr w:type="spellEnd"/>
      <w:r w:rsidRPr="005746EE">
        <w:rPr>
          <w:rFonts w:eastAsia="Georgia" w:hAnsi="Georgia" w:cs="Georgia"/>
          <w:sz w:val="24"/>
          <w:szCs w:val="24"/>
        </w:rPr>
        <w:t>-Wróbel) oraz prokuratura Kraków-Podgórze (prok. Marta Suchodolska), prowadząc kontrolę w tej sprawie, nie zbadały tych powiązań, nie przeprowadziły analizy statystycznej i nie dotarły do publicznie dostępnych informacji wskazujących na kumoterstwo w NCN.</w:t>
      </w:r>
    </w:p>
    <w:p w:rsidR="00BE4907" w:rsidRPr="005746EE" w:rsidRDefault="005746EE">
      <w:pPr>
        <w:rPr>
          <w:sz w:val="24"/>
          <w:szCs w:val="24"/>
        </w:rPr>
      </w:pPr>
      <w:r w:rsidRPr="005746EE">
        <w:rPr>
          <w:noProof/>
          <w:sz w:val="24"/>
          <w:szCs w:val="24"/>
        </w:rPr>
        <w:lastRenderedPageBreak/>
      </w:r>
      <w:r w:rsidR="005746EE" w:rsidRPr="005746EE">
        <w:rPr>
          <w:noProof/>
          <w:sz w:val="24"/>
          <w:szCs w:val="24"/>
        </w:rPr>
        <w:pict>
          <v:rect id="_x0000_i1028" alt="" style="width:434.5pt;height:.05pt;mso-width-percent:0;mso-height-percent:0;mso-width-percent:0;mso-height-percent:0" o:hralign="center" o:hrstd="t" o:hr="t"/>
        </w:pict>
      </w:r>
    </w:p>
    <w:p w:rsidR="00BE4907" w:rsidRPr="005746EE" w:rsidRDefault="00000000">
      <w:pPr>
        <w:spacing w:before="240" w:line="271" w:lineRule="auto"/>
        <w:rPr>
          <w:sz w:val="24"/>
          <w:szCs w:val="24"/>
        </w:rPr>
      </w:pPr>
      <w:bookmarkStart w:id="25" w:name="bm_4_brak_skutecznej_kontroli_nik_460ee4"/>
      <w:r w:rsidRPr="005746EE">
        <w:rPr>
          <w:rFonts w:eastAsia="Georgia" w:hAnsi="Georgia" w:cs="Georgia"/>
          <w:b/>
          <w:sz w:val="24"/>
          <w:szCs w:val="24"/>
        </w:rPr>
        <w:t>4. Brak skutecznej kontroli — NIK, Ministerstwo Nauki, prokuratura</w:t>
      </w:r>
      <w:bookmarkEnd w:id="25"/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Ani kontrola Najwyższej Izby Kontroli (NIK) w NCN przeprowadzona w 2020 roku, ani kontrola Ministerstwa Nauki z 2023 roku, ani postępowania prowadzone przez prokuraturę Kraków-</w:t>
      </w:r>
      <w:proofErr w:type="spellStart"/>
      <w:r w:rsidRPr="005746EE">
        <w:rPr>
          <w:rFonts w:eastAsia="Georgia" w:hAnsi="Georgia" w:cs="Georgia"/>
          <w:sz w:val="24"/>
          <w:szCs w:val="24"/>
        </w:rPr>
        <w:t>Krowodrza</w:t>
      </w:r>
      <w:proofErr w:type="spellEnd"/>
      <w:r w:rsidRPr="005746EE">
        <w:rPr>
          <w:rFonts w:eastAsia="Georgia" w:hAnsi="Georgia" w:cs="Georgia"/>
          <w:sz w:val="24"/>
          <w:szCs w:val="24"/>
        </w:rPr>
        <w:t xml:space="preserve"> w 2024 roku nie doprowadziły do stwierdzenia nieprawidłowości w zakresie:</w:t>
      </w:r>
    </w:p>
    <w:p w:rsidR="00BE4907" w:rsidRPr="005746EE" w:rsidRDefault="00000000">
      <w:pPr>
        <w:numPr>
          <w:ilvl w:val="0"/>
          <w:numId w:val="4"/>
        </w:numPr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współpracy naukowej zastępcy dyrektora NCN z beneficjentem grantów NCN (sprawa Liana–Babik),</w:t>
      </w:r>
    </w:p>
    <w:p w:rsidR="00BE4907" w:rsidRPr="005746EE" w:rsidRDefault="00000000">
      <w:pPr>
        <w:numPr>
          <w:ilvl w:val="0"/>
          <w:numId w:val="4"/>
        </w:numPr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współpracy naukowej dyrektora NCN z beneficjentem grantu NCN (sprawa Błocki–</w:t>
      </w:r>
      <w:proofErr w:type="spellStart"/>
      <w:r w:rsidRPr="005746EE">
        <w:rPr>
          <w:rFonts w:eastAsia="Georgia" w:hAnsi="Georgia" w:cs="Georgia"/>
          <w:sz w:val="24"/>
          <w:szCs w:val="24"/>
        </w:rPr>
        <w:t>Zwonek</w:t>
      </w:r>
      <w:proofErr w:type="spellEnd"/>
      <w:r w:rsidRPr="005746EE">
        <w:rPr>
          <w:rFonts w:eastAsia="Georgia" w:hAnsi="Georgia" w:cs="Georgia"/>
          <w:sz w:val="24"/>
          <w:szCs w:val="24"/>
        </w:rPr>
        <w:t>),</w:t>
      </w:r>
    </w:p>
    <w:p w:rsidR="00BE4907" w:rsidRPr="005746EE" w:rsidRDefault="00000000">
      <w:pPr>
        <w:numPr>
          <w:ilvl w:val="0"/>
          <w:numId w:val="4"/>
        </w:numPr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anomalii statystycznych w przyznawaniu grantów z odwołania,</w:t>
      </w:r>
    </w:p>
    <w:p w:rsidR="00BE4907" w:rsidRPr="005746EE" w:rsidRDefault="00000000">
      <w:pPr>
        <w:numPr>
          <w:ilvl w:val="0"/>
          <w:numId w:val="4"/>
        </w:numPr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przyznawania grantów z odwołania małżonkom pracowników NCN.</w:t>
      </w:r>
    </w:p>
    <w:p w:rsidR="00BE4907" w:rsidRPr="005746EE" w:rsidRDefault="005746EE">
      <w:pPr>
        <w:rPr>
          <w:sz w:val="24"/>
          <w:szCs w:val="24"/>
        </w:rPr>
      </w:pPr>
      <w:r w:rsidRPr="005746EE">
        <w:rPr>
          <w:noProof/>
          <w:sz w:val="24"/>
          <w:szCs w:val="24"/>
        </w:rPr>
      </w:r>
      <w:r w:rsidR="005746EE" w:rsidRPr="005746EE">
        <w:rPr>
          <w:noProof/>
          <w:sz w:val="24"/>
          <w:szCs w:val="24"/>
        </w:rPr>
        <w:pict>
          <v:rect id="_x0000_i1029" alt="" style="width:434.5pt;height:.05pt;mso-width-percent:0;mso-height-percent:0;mso-width-percent:0;mso-height-percent:0" o:hralign="center" o:hrstd="t" o:hr="t"/>
        </w:pic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Niniejszy dokument stanowi zestawienie publicznie dostępnych danych i informacji uzyskanych w toku analizy działalności Narodowego Centrum Nauki. Jego celem jest doprowadzenie do rzetelnego zbadania opisanych nieprawidłowości przez właściwe organy państwa.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Autor zastrzega sobie prawo do kontynuowania dziennikarskiego śledztwa w tej sprawie oraz do publikowania kolejnych ustaleń dotyczących procedur oceniania, przyznawania i rozliczania grantów przez NCN i NAWA.</w:t>
      </w:r>
    </w:p>
    <w:p w:rsidR="00BE4907" w:rsidRDefault="00000000">
      <w:pPr>
        <w:spacing w:after="210"/>
        <w:rPr>
          <w:rFonts w:eastAsia="Georgia" w:hAnsi="Georgia" w:cs="Georgia"/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Z poważaniem,</w:t>
      </w:r>
    </w:p>
    <w:p w:rsidR="005746EE" w:rsidRDefault="005746EE">
      <w:pPr>
        <w:spacing w:after="210"/>
        <w:rPr>
          <w:rFonts w:eastAsia="Georgia" w:hAnsi="Georgia" w:cs="Georgia"/>
          <w:sz w:val="24"/>
          <w:szCs w:val="24"/>
        </w:rPr>
      </w:pPr>
    </w:p>
    <w:p w:rsidR="005746EE" w:rsidRPr="005746EE" w:rsidRDefault="005746EE">
      <w:pPr>
        <w:spacing w:after="210"/>
        <w:rPr>
          <w:sz w:val="24"/>
          <w:szCs w:val="24"/>
        </w:rPr>
      </w:pP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b/>
          <w:sz w:val="24"/>
          <w:szCs w:val="24"/>
        </w:rPr>
        <w:t>Dr Witold Kilarski</w:t>
      </w:r>
    </w:p>
    <w:p w:rsidR="00BE4907" w:rsidRPr="005746EE" w:rsidRDefault="00000000">
      <w:pPr>
        <w:spacing w:after="210"/>
        <w:rPr>
          <w:sz w:val="24"/>
          <w:szCs w:val="24"/>
        </w:rPr>
      </w:pPr>
      <w:r w:rsidRPr="005746EE">
        <w:rPr>
          <w:rFonts w:eastAsia="Georgia" w:hAnsi="Georgia" w:cs="Georgia"/>
          <w:sz w:val="24"/>
          <w:szCs w:val="24"/>
        </w:rPr>
        <w:t>os. Złota Podkowa 27/9, 31-352 Kraków</w:t>
      </w:r>
      <w:r w:rsidRPr="005746EE">
        <w:rPr>
          <w:sz w:val="24"/>
          <w:szCs w:val="24"/>
        </w:rPr>
        <w:br/>
        <w:t>Tel.: +48 782 473 130</w:t>
      </w:r>
      <w:r w:rsidRPr="005746EE">
        <w:rPr>
          <w:sz w:val="24"/>
          <w:szCs w:val="24"/>
        </w:rPr>
        <w:br/>
        <w:t xml:space="preserve">E-mail: </w:t>
      </w:r>
      <w:hyperlink r:id="rId27">
        <w:r w:rsidRPr="005746EE">
          <w:rPr>
            <w:rFonts w:eastAsia="Georgia" w:hAnsi="Georgia" w:cs="Georgia"/>
            <w:color w:val="4472C4"/>
            <w:sz w:val="24"/>
            <w:szCs w:val="24"/>
          </w:rPr>
          <w:t>witek.kilarski@gmail.com</w:t>
        </w:r>
      </w:hyperlink>
    </w:p>
    <w:sectPr w:rsidR="00BE4907" w:rsidRPr="005746EE" w:rsidSect="005746EE">
      <w:headerReference w:type="even" r:id="rId28"/>
      <w:headerReference w:type="default" r:id="rId29"/>
      <w:pgSz w:w="12240" w:h="15840"/>
      <w:pgMar w:top="1415" w:right="1775" w:bottom="1415" w:left="177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5997" w:rsidRDefault="000A5997" w:rsidP="005746EE">
      <w:pPr>
        <w:spacing w:after="0" w:line="240" w:lineRule="auto"/>
      </w:pPr>
      <w:r>
        <w:separator/>
      </w:r>
    </w:p>
  </w:endnote>
  <w:endnote w:type="continuationSeparator" w:id="0">
    <w:p w:rsidR="000A5997" w:rsidRDefault="000A5997" w:rsidP="00574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5997" w:rsidRDefault="000A5997" w:rsidP="005746EE">
      <w:pPr>
        <w:spacing w:after="0" w:line="240" w:lineRule="auto"/>
      </w:pPr>
      <w:r>
        <w:separator/>
      </w:r>
    </w:p>
  </w:footnote>
  <w:footnote w:type="continuationSeparator" w:id="0">
    <w:p w:rsidR="000A5997" w:rsidRDefault="000A5997" w:rsidP="00574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25109524"/>
      <w:docPartObj>
        <w:docPartGallery w:val="Page Numbers (Top of Page)"/>
        <w:docPartUnique/>
      </w:docPartObj>
    </w:sdtPr>
    <w:sdtContent>
      <w:p w:rsidR="005746EE" w:rsidRDefault="005746EE" w:rsidP="00665B1E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5746EE" w:rsidRDefault="005746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35366797"/>
      <w:docPartObj>
        <w:docPartGallery w:val="Page Numbers (Top of Page)"/>
        <w:docPartUnique/>
      </w:docPartObj>
    </w:sdtPr>
    <w:sdtContent>
      <w:p w:rsidR="005746EE" w:rsidRDefault="005746EE" w:rsidP="00665B1E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5746EE" w:rsidRDefault="005746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1DAD"/>
    <w:multiLevelType w:val="hybridMultilevel"/>
    <w:tmpl w:val="5ABE9774"/>
    <w:lvl w:ilvl="0" w:tplc="E5383CC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26AFF8A">
      <w:numFmt w:val="decimal"/>
      <w:lvlText w:val=""/>
      <w:lvlJc w:val="left"/>
    </w:lvl>
    <w:lvl w:ilvl="2" w:tplc="FDB82216">
      <w:numFmt w:val="decimal"/>
      <w:lvlText w:val=""/>
      <w:lvlJc w:val="left"/>
    </w:lvl>
    <w:lvl w:ilvl="3" w:tplc="0D9EA146">
      <w:numFmt w:val="decimal"/>
      <w:lvlText w:val=""/>
      <w:lvlJc w:val="left"/>
    </w:lvl>
    <w:lvl w:ilvl="4" w:tplc="9D8C9632">
      <w:numFmt w:val="decimal"/>
      <w:lvlText w:val=""/>
      <w:lvlJc w:val="left"/>
    </w:lvl>
    <w:lvl w:ilvl="5" w:tplc="6BC0086C">
      <w:numFmt w:val="decimal"/>
      <w:lvlText w:val=""/>
      <w:lvlJc w:val="left"/>
    </w:lvl>
    <w:lvl w:ilvl="6" w:tplc="5DC48F36">
      <w:numFmt w:val="decimal"/>
      <w:lvlText w:val=""/>
      <w:lvlJc w:val="left"/>
    </w:lvl>
    <w:lvl w:ilvl="7" w:tplc="8D020BB0">
      <w:numFmt w:val="decimal"/>
      <w:lvlText w:val=""/>
      <w:lvlJc w:val="left"/>
    </w:lvl>
    <w:lvl w:ilvl="8" w:tplc="B9406602">
      <w:numFmt w:val="decimal"/>
      <w:lvlText w:val=""/>
      <w:lvlJc w:val="left"/>
    </w:lvl>
  </w:abstractNum>
  <w:abstractNum w:abstractNumId="1" w15:restartNumberingAfterBreak="0">
    <w:nsid w:val="0B9338CB"/>
    <w:multiLevelType w:val="hybridMultilevel"/>
    <w:tmpl w:val="FA123B8C"/>
    <w:lvl w:ilvl="0" w:tplc="D274597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25458D4">
      <w:numFmt w:val="decimal"/>
      <w:lvlText w:val=""/>
      <w:lvlJc w:val="left"/>
    </w:lvl>
    <w:lvl w:ilvl="2" w:tplc="2102B152">
      <w:numFmt w:val="decimal"/>
      <w:lvlText w:val=""/>
      <w:lvlJc w:val="left"/>
    </w:lvl>
    <w:lvl w:ilvl="3" w:tplc="19D675E6">
      <w:numFmt w:val="decimal"/>
      <w:lvlText w:val=""/>
      <w:lvlJc w:val="left"/>
    </w:lvl>
    <w:lvl w:ilvl="4" w:tplc="52D07148">
      <w:numFmt w:val="decimal"/>
      <w:lvlText w:val=""/>
      <w:lvlJc w:val="left"/>
    </w:lvl>
    <w:lvl w:ilvl="5" w:tplc="3E64CE8A">
      <w:numFmt w:val="decimal"/>
      <w:lvlText w:val=""/>
      <w:lvlJc w:val="left"/>
    </w:lvl>
    <w:lvl w:ilvl="6" w:tplc="338293D8">
      <w:numFmt w:val="decimal"/>
      <w:lvlText w:val=""/>
      <w:lvlJc w:val="left"/>
    </w:lvl>
    <w:lvl w:ilvl="7" w:tplc="42D40E1A">
      <w:numFmt w:val="decimal"/>
      <w:lvlText w:val=""/>
      <w:lvlJc w:val="left"/>
    </w:lvl>
    <w:lvl w:ilvl="8" w:tplc="7E12D78E">
      <w:numFmt w:val="decimal"/>
      <w:lvlText w:val=""/>
      <w:lvlJc w:val="left"/>
    </w:lvl>
  </w:abstractNum>
  <w:abstractNum w:abstractNumId="2" w15:restartNumberingAfterBreak="0">
    <w:nsid w:val="5D0C64DC"/>
    <w:multiLevelType w:val="hybridMultilevel"/>
    <w:tmpl w:val="541E61B2"/>
    <w:lvl w:ilvl="0" w:tplc="4294970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73656B4">
      <w:numFmt w:val="decimal"/>
      <w:lvlText w:val=""/>
      <w:lvlJc w:val="left"/>
    </w:lvl>
    <w:lvl w:ilvl="2" w:tplc="BED68FE6">
      <w:numFmt w:val="decimal"/>
      <w:lvlText w:val=""/>
      <w:lvlJc w:val="left"/>
    </w:lvl>
    <w:lvl w:ilvl="3" w:tplc="056ECA70">
      <w:numFmt w:val="decimal"/>
      <w:lvlText w:val=""/>
      <w:lvlJc w:val="left"/>
    </w:lvl>
    <w:lvl w:ilvl="4" w:tplc="CBB2F930">
      <w:numFmt w:val="decimal"/>
      <w:lvlText w:val=""/>
      <w:lvlJc w:val="left"/>
    </w:lvl>
    <w:lvl w:ilvl="5" w:tplc="735E7974">
      <w:numFmt w:val="decimal"/>
      <w:lvlText w:val=""/>
      <w:lvlJc w:val="left"/>
    </w:lvl>
    <w:lvl w:ilvl="6" w:tplc="D0444DD4">
      <w:numFmt w:val="decimal"/>
      <w:lvlText w:val=""/>
      <w:lvlJc w:val="left"/>
    </w:lvl>
    <w:lvl w:ilvl="7" w:tplc="17E617B2">
      <w:numFmt w:val="decimal"/>
      <w:lvlText w:val=""/>
      <w:lvlJc w:val="left"/>
    </w:lvl>
    <w:lvl w:ilvl="8" w:tplc="9174A078">
      <w:numFmt w:val="decimal"/>
      <w:lvlText w:val=""/>
      <w:lvlJc w:val="left"/>
    </w:lvl>
  </w:abstractNum>
  <w:abstractNum w:abstractNumId="3" w15:restartNumberingAfterBreak="0">
    <w:nsid w:val="618039C9"/>
    <w:multiLevelType w:val="hybridMultilevel"/>
    <w:tmpl w:val="A94EA3B8"/>
    <w:lvl w:ilvl="0" w:tplc="4752AB8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05CCAD06">
      <w:numFmt w:val="decimal"/>
      <w:lvlText w:val=""/>
      <w:lvlJc w:val="left"/>
    </w:lvl>
    <w:lvl w:ilvl="2" w:tplc="4216901C">
      <w:numFmt w:val="decimal"/>
      <w:lvlText w:val=""/>
      <w:lvlJc w:val="left"/>
    </w:lvl>
    <w:lvl w:ilvl="3" w:tplc="0E007702">
      <w:numFmt w:val="decimal"/>
      <w:lvlText w:val=""/>
      <w:lvlJc w:val="left"/>
    </w:lvl>
    <w:lvl w:ilvl="4" w:tplc="21A2B958">
      <w:numFmt w:val="decimal"/>
      <w:lvlText w:val=""/>
      <w:lvlJc w:val="left"/>
    </w:lvl>
    <w:lvl w:ilvl="5" w:tplc="02609AEE">
      <w:numFmt w:val="decimal"/>
      <w:lvlText w:val=""/>
      <w:lvlJc w:val="left"/>
    </w:lvl>
    <w:lvl w:ilvl="6" w:tplc="050E2E64">
      <w:numFmt w:val="decimal"/>
      <w:lvlText w:val=""/>
      <w:lvlJc w:val="left"/>
    </w:lvl>
    <w:lvl w:ilvl="7" w:tplc="0D48ECFC">
      <w:numFmt w:val="decimal"/>
      <w:lvlText w:val=""/>
      <w:lvlJc w:val="left"/>
    </w:lvl>
    <w:lvl w:ilvl="8" w:tplc="209A11B4">
      <w:numFmt w:val="decimal"/>
      <w:lvlText w:val=""/>
      <w:lvlJc w:val="left"/>
    </w:lvl>
  </w:abstractNum>
  <w:num w:numId="1" w16cid:durableId="2055225915">
    <w:abstractNumId w:val="3"/>
  </w:num>
  <w:num w:numId="2" w16cid:durableId="249462502">
    <w:abstractNumId w:val="1"/>
  </w:num>
  <w:num w:numId="3" w16cid:durableId="2044598595">
    <w:abstractNumId w:val="2"/>
  </w:num>
  <w:num w:numId="4" w16cid:durableId="180716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907"/>
    <w:rsid w:val="0002049B"/>
    <w:rsid w:val="000A5997"/>
    <w:rsid w:val="005746EE"/>
    <w:rsid w:val="00BE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0C4CC4"/>
  <w15:docId w15:val="{C3D47939-38D4-BC47-9CE3-51E3A0EF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4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6EE"/>
  </w:style>
  <w:style w:type="character" w:styleId="PageNumber">
    <w:name w:val="page number"/>
    <w:basedOn w:val="DefaultParagraphFont"/>
    <w:uiPriority w:val="99"/>
    <w:semiHidden/>
    <w:unhideWhenUsed/>
    <w:rsid w:val="00574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wum.nauka-polska.pl/" TargetMode="External"/><Relationship Id="rId13" Type="http://schemas.openxmlformats.org/officeDocument/2006/relationships/hyperlink" Target="https://onlinelibrary.wiley.com/doi/abs/10.1111/jbi.12449" TargetMode="External"/><Relationship Id="rId18" Type="http://schemas.openxmlformats.org/officeDocument/2006/relationships/hyperlink" Target="https://web.archive.org/web/20181116055328/http://ncn.gov.pl/konkursy/wyniki/odwolania" TargetMode="External"/><Relationship Id="rId26" Type="http://schemas.openxmlformats.org/officeDocument/2006/relationships/hyperlink" Target="https://pmc.ncbi.nlm.nih.gov/articles/PMC301079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eb.archive.org/web/20211025075355/https://ncn.gov.pl/konkursy/wyniki/odwolania" TargetMode="External"/><Relationship Id="rId7" Type="http://schemas.openxmlformats.org/officeDocument/2006/relationships/hyperlink" Target="https://pl.wikipedia.org/wiki/W%C5%82odzimierz_Zwonek" TargetMode="External"/><Relationship Id="rId12" Type="http://schemas.openxmlformats.org/officeDocument/2006/relationships/hyperlink" Target="https://projekty.ncn.gov.pl/en/index.php?kierownik_id=1870" TargetMode="External"/><Relationship Id="rId17" Type="http://schemas.openxmlformats.org/officeDocument/2006/relationships/hyperlink" Target="https://onlinelibrary.wiley.com/doi/10.1111/mec.16543" TargetMode="External"/><Relationship Id="rId25" Type="http://schemas.openxmlformats.org/officeDocument/2006/relationships/hyperlink" Target="https://www.ncn.gov.pl/konkursy/wyniki/odwolan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jekty-ncn-gov-pl.translate.goog/en/index.php?projekt_id=176927&amp;_x_tr_sl=pl&amp;_x_tr_tl=en&amp;_x_tr_hl=en&amp;_x_tr_pto=sc" TargetMode="External"/><Relationship Id="rId20" Type="http://schemas.openxmlformats.org/officeDocument/2006/relationships/hyperlink" Target="https://web.archive.org/web/20200927095634/http://ncn.gov.pl/konkursy/wyniki/odwolania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lecol.eko.uj.edu.pl/zespol/pracownicy/wieslaw-babik" TargetMode="External"/><Relationship Id="rId24" Type="http://schemas.openxmlformats.org/officeDocument/2006/relationships/hyperlink" Target="https://web.archive.org/web/20241201202012/https://ncn.gov.pl/konkursy/wyniki/odwolani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rill.com/view/journals/amre/39/2/article-p252_11.xml" TargetMode="External"/><Relationship Id="rId23" Type="http://schemas.openxmlformats.org/officeDocument/2006/relationships/hyperlink" Target="https://web.archive.org/web/20231209213353/https://ncn.gov.pl/konkursy/wyniki/odwolania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projekty.ncn.gov.pl/index.php?projekt_id=292407" TargetMode="External"/><Relationship Id="rId19" Type="http://schemas.openxmlformats.org/officeDocument/2006/relationships/hyperlink" Target="https://web.archive.org/web/20190722004247/http://ncn.gov.pl/konkursy/wyniki/odwolania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m.uj.edu.pl/instytut/struktura/katedra-analizy-matematycznej" TargetMode="External"/><Relationship Id="rId14" Type="http://schemas.openxmlformats.org/officeDocument/2006/relationships/hyperlink" Target="https://projekty.ncn.gov.pl/en/index.php?projekt_id=176927" TargetMode="External"/><Relationship Id="rId22" Type="http://schemas.openxmlformats.org/officeDocument/2006/relationships/hyperlink" Target="https://web.archive.org/web/20221208064303/https://ncn.gov.pl/konkursy/wyniki/odwolania" TargetMode="External"/><Relationship Id="rId27" Type="http://schemas.openxmlformats.org/officeDocument/2006/relationships/hyperlink" Target="mailto:witek.kilarski@gmail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3191</Words>
  <Characters>18189</Characters>
  <Application>Microsoft Office Word</Application>
  <DocSecurity>0</DocSecurity>
  <Lines>151</Lines>
  <Paragraphs>42</Paragraphs>
  <ScaleCrop>false</ScaleCrop>
  <Company/>
  <LinksUpToDate>false</LinksUpToDate>
  <CharactersWithSpaces>21338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Witek Kilarski</cp:lastModifiedBy>
  <cp:revision>2</cp:revision>
  <dcterms:created xsi:type="dcterms:W3CDTF">2026-02-23T07:20:00Z</dcterms:created>
  <dcterms:modified xsi:type="dcterms:W3CDTF">2026-02-25T12:31:00Z</dcterms:modified>
</cp:coreProperties>
</file>